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74F1" w14:textId="5A353D1E" w:rsidR="009820C4" w:rsidRDefault="003238A4">
      <w:pPr>
        <w:pStyle w:val="Titolo"/>
      </w:pPr>
      <w:r>
        <w:t>INTERVENTI REALIZZATI E IN CORSO DI REALIZZAZIONE</w:t>
      </w:r>
    </w:p>
    <w:p w14:paraId="47768EB3" w14:textId="2A4D4AF6" w:rsidR="001549D8" w:rsidRDefault="001549D8" w:rsidP="001549D8"/>
    <w:p w14:paraId="7241825A" w14:textId="77777777" w:rsidR="001549D8" w:rsidRPr="001549D8" w:rsidRDefault="001549D8" w:rsidP="001549D8"/>
    <w:tbl>
      <w:tblPr>
        <w:tblStyle w:val="Tabellagriglia4-colore1"/>
        <w:tblW w:w="5000" w:type="pct"/>
        <w:tblLayout w:type="fixed"/>
        <w:tblLook w:val="0420" w:firstRow="1" w:lastRow="0" w:firstColumn="0" w:lastColumn="0" w:noHBand="0" w:noVBand="1"/>
        <w:tblDescription w:val="Tabella dell'itinerario del viaggio di lavoro"/>
      </w:tblPr>
      <w:tblGrid>
        <w:gridCol w:w="12611"/>
        <w:gridCol w:w="2969"/>
      </w:tblGrid>
      <w:tr w:rsidR="003238A4" w:rsidRPr="00347728" w14:paraId="66051C26" w14:textId="77777777" w:rsidTr="00323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11" w:type="dxa"/>
          </w:tcPr>
          <w:p w14:paraId="6CB838E2" w14:textId="070AC411" w:rsidR="003238A4" w:rsidRPr="00347728" w:rsidRDefault="003238A4" w:rsidP="006E74B0">
            <w:r>
              <w:t>Intervento</w:t>
            </w:r>
          </w:p>
        </w:tc>
        <w:tc>
          <w:tcPr>
            <w:tcW w:w="2969" w:type="dxa"/>
          </w:tcPr>
          <w:p w14:paraId="111B7932" w14:textId="0DE56665" w:rsidR="003238A4" w:rsidRPr="00347728" w:rsidRDefault="003238A4" w:rsidP="006E74B0">
            <w:r>
              <w:t>Finanziamenti</w:t>
            </w:r>
          </w:p>
        </w:tc>
      </w:tr>
      <w:tr w:rsidR="003238A4" w:rsidRPr="00347728" w14:paraId="1BDD9053" w14:textId="77777777" w:rsidTr="00323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11" w:type="dxa"/>
          </w:tcPr>
          <w:p w14:paraId="62A38B32" w14:textId="1881D342" w:rsidR="003238A4" w:rsidRPr="00347728" w:rsidRDefault="003238A4" w:rsidP="006E74B0">
            <w:r>
              <w:rPr>
                <w:color w:val="002060"/>
              </w:rPr>
              <w:t>revisione e potenziamento delle protezioni della parete rocciosa in zona scalo barche a Manarola</w:t>
            </w:r>
          </w:p>
        </w:tc>
        <w:tc>
          <w:tcPr>
            <w:tcW w:w="2969" w:type="dxa"/>
          </w:tcPr>
          <w:p w14:paraId="5CE6C342" w14:textId="4A404A08" w:rsidR="003238A4" w:rsidRPr="00347728" w:rsidRDefault="003238A4" w:rsidP="006E74B0">
            <w:r>
              <w:rPr>
                <w:color w:val="002060"/>
              </w:rPr>
              <w:t>€ 220.000</w:t>
            </w:r>
          </w:p>
        </w:tc>
      </w:tr>
      <w:tr w:rsidR="003238A4" w:rsidRPr="00347728" w14:paraId="31D6DB31" w14:textId="77777777" w:rsidTr="003238A4">
        <w:tc>
          <w:tcPr>
            <w:tcW w:w="12611" w:type="dxa"/>
          </w:tcPr>
          <w:p w14:paraId="4DDD5A2A" w14:textId="6AFABBC0" w:rsidR="003238A4" w:rsidRPr="00347728" w:rsidRDefault="003238A4" w:rsidP="003845AE">
            <w:r>
              <w:rPr>
                <w:color w:val="002060"/>
              </w:rPr>
              <w:t>risanamento delle strutture in cemento armato sotto la piazzola della Marina</w:t>
            </w:r>
          </w:p>
        </w:tc>
        <w:tc>
          <w:tcPr>
            <w:tcW w:w="2969" w:type="dxa"/>
          </w:tcPr>
          <w:p w14:paraId="7CE32A33" w14:textId="43301E4B" w:rsidR="003238A4" w:rsidRPr="00347728" w:rsidRDefault="003238A4" w:rsidP="003845AE">
            <w:r>
              <w:rPr>
                <w:color w:val="002060"/>
              </w:rPr>
              <w:t>€ 150.000</w:t>
            </w:r>
          </w:p>
        </w:tc>
      </w:tr>
      <w:tr w:rsidR="003238A4" w:rsidRPr="00347728" w14:paraId="05CBB012" w14:textId="77777777" w:rsidTr="00323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11" w:type="dxa"/>
          </w:tcPr>
          <w:p w14:paraId="65EB89BD" w14:textId="28455454" w:rsidR="003238A4" w:rsidRPr="00347728" w:rsidRDefault="003238A4" w:rsidP="003845AE">
            <w:r>
              <w:rPr>
                <w:color w:val="002060"/>
              </w:rPr>
              <w:t xml:space="preserve">consolidamento delle murature di sostegno del percorso di collegamento fra la Marina e lo scalo imbarcazioni a </w:t>
            </w:r>
            <w:proofErr w:type="spellStart"/>
            <w:r>
              <w:rPr>
                <w:color w:val="002060"/>
              </w:rPr>
              <w:t>Palaedo</w:t>
            </w:r>
            <w:proofErr w:type="spellEnd"/>
            <w:r>
              <w:rPr>
                <w:color w:val="002060"/>
              </w:rPr>
              <w:t xml:space="preserve">, consolidamento del percorso per lo scalo </w:t>
            </w:r>
            <w:proofErr w:type="spellStart"/>
            <w:r>
              <w:rPr>
                <w:color w:val="002060"/>
              </w:rPr>
              <w:t>Palaedo</w:t>
            </w:r>
            <w:proofErr w:type="spellEnd"/>
            <w:r>
              <w:rPr>
                <w:color w:val="002060"/>
              </w:rPr>
              <w:t xml:space="preserve"> e il consolidamento e pulizia della parete rocciosa sovrastante</w:t>
            </w:r>
          </w:p>
        </w:tc>
        <w:tc>
          <w:tcPr>
            <w:tcW w:w="2969" w:type="dxa"/>
          </w:tcPr>
          <w:p w14:paraId="3C78EA92" w14:textId="70E2162D" w:rsidR="003238A4" w:rsidRPr="00347728" w:rsidRDefault="003238A4" w:rsidP="003845AE">
            <w:r>
              <w:rPr>
                <w:color w:val="002060"/>
              </w:rPr>
              <w:t>€ 200.000</w:t>
            </w:r>
          </w:p>
        </w:tc>
      </w:tr>
      <w:tr w:rsidR="003238A4" w:rsidRPr="00347728" w14:paraId="7FFCFC12" w14:textId="77777777" w:rsidTr="003238A4">
        <w:tc>
          <w:tcPr>
            <w:tcW w:w="12611" w:type="dxa"/>
          </w:tcPr>
          <w:p w14:paraId="198597F5" w14:textId="10D54E60" w:rsidR="003238A4" w:rsidRPr="00347728" w:rsidRDefault="003238A4" w:rsidP="003845AE">
            <w:r>
              <w:rPr>
                <w:color w:val="002060"/>
              </w:rPr>
              <w:t xml:space="preserve">demolizione del fabbricato dismesso dell’ex funicolare pericolante in </w:t>
            </w:r>
            <w:proofErr w:type="spellStart"/>
            <w:r>
              <w:rPr>
                <w:color w:val="002060"/>
              </w:rPr>
              <w:t>Loc</w:t>
            </w:r>
            <w:proofErr w:type="spellEnd"/>
            <w:r>
              <w:rPr>
                <w:color w:val="002060"/>
              </w:rPr>
              <w:t>. Groppo</w:t>
            </w:r>
          </w:p>
        </w:tc>
        <w:tc>
          <w:tcPr>
            <w:tcW w:w="2969" w:type="dxa"/>
          </w:tcPr>
          <w:p w14:paraId="24E85476" w14:textId="39205FE7" w:rsidR="003238A4" w:rsidRPr="00347728" w:rsidRDefault="003238A4" w:rsidP="003845AE">
            <w:r>
              <w:rPr>
                <w:color w:val="002060"/>
              </w:rPr>
              <w:t>€ 105.000</w:t>
            </w:r>
          </w:p>
        </w:tc>
      </w:tr>
      <w:tr w:rsidR="003238A4" w:rsidRPr="00347728" w14:paraId="01BA70EB" w14:textId="77777777" w:rsidTr="00323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11" w:type="dxa"/>
          </w:tcPr>
          <w:p w14:paraId="30861E67" w14:textId="1E45958B" w:rsidR="003238A4" w:rsidRPr="00347728" w:rsidRDefault="003238A4" w:rsidP="003845AE">
            <w:r>
              <w:rPr>
                <w:color w:val="002060"/>
              </w:rPr>
              <w:t>regimentazione delle acque del canale di scolo a Volastra in prossimità del parcheggio pubblico e Via dei Santuari</w:t>
            </w:r>
          </w:p>
        </w:tc>
        <w:tc>
          <w:tcPr>
            <w:tcW w:w="2969" w:type="dxa"/>
          </w:tcPr>
          <w:p w14:paraId="226B1968" w14:textId="16D7BA75" w:rsidR="003238A4" w:rsidRPr="00347728" w:rsidRDefault="003238A4" w:rsidP="003845AE">
            <w:r>
              <w:rPr>
                <w:color w:val="002060"/>
              </w:rPr>
              <w:t>€ 350.000</w:t>
            </w:r>
          </w:p>
        </w:tc>
      </w:tr>
      <w:tr w:rsidR="003238A4" w:rsidRPr="00347728" w14:paraId="7A27389F" w14:textId="77777777" w:rsidTr="003238A4">
        <w:tc>
          <w:tcPr>
            <w:tcW w:w="12611" w:type="dxa"/>
          </w:tcPr>
          <w:p w14:paraId="17B828D9" w14:textId="37F74372" w:rsidR="003238A4" w:rsidRPr="00347728" w:rsidRDefault="003238A4" w:rsidP="003845AE">
            <w:r>
              <w:rPr>
                <w:color w:val="002060"/>
              </w:rPr>
              <w:t>consolidamento e il rifacimento dei muri di contenimento sopra la strada di Via Telemaco e sotto il giardino della scuola primaria</w:t>
            </w:r>
          </w:p>
        </w:tc>
        <w:tc>
          <w:tcPr>
            <w:tcW w:w="2969" w:type="dxa"/>
          </w:tcPr>
          <w:p w14:paraId="1FBB93F1" w14:textId="4998BFA7" w:rsidR="003238A4" w:rsidRPr="00347728" w:rsidRDefault="003238A4" w:rsidP="003845AE">
            <w:r>
              <w:rPr>
                <w:color w:val="002060"/>
              </w:rPr>
              <w:t>€ 180.000</w:t>
            </w:r>
          </w:p>
        </w:tc>
      </w:tr>
      <w:tr w:rsidR="003238A4" w:rsidRPr="00347728" w14:paraId="28D08100" w14:textId="77777777" w:rsidTr="00323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11" w:type="dxa"/>
          </w:tcPr>
          <w:p w14:paraId="73824611" w14:textId="0002BA3F" w:rsidR="003238A4" w:rsidRPr="00347728" w:rsidRDefault="003238A4" w:rsidP="003845AE">
            <w:r>
              <w:rPr>
                <w:color w:val="002060"/>
              </w:rPr>
              <w:t>adeguamento sismico dell’asilo nido, del Palazzo Comunale della sede della Polizia Municipale e dell’edificio ex scuola di Manarola quali strutture strategiche inserite nel piano di Protezione Civile comunale</w:t>
            </w:r>
          </w:p>
        </w:tc>
        <w:tc>
          <w:tcPr>
            <w:tcW w:w="2969" w:type="dxa"/>
          </w:tcPr>
          <w:p w14:paraId="54B46D43" w14:textId="361BF17A" w:rsidR="003238A4" w:rsidRPr="00347728" w:rsidRDefault="003238A4" w:rsidP="003845AE">
            <w:r>
              <w:rPr>
                <w:color w:val="002060"/>
              </w:rPr>
              <w:t>€ 780.000</w:t>
            </w:r>
          </w:p>
        </w:tc>
      </w:tr>
      <w:tr w:rsidR="003238A4" w:rsidRPr="00347728" w14:paraId="40A11300" w14:textId="77777777" w:rsidTr="003238A4">
        <w:tc>
          <w:tcPr>
            <w:tcW w:w="12611" w:type="dxa"/>
          </w:tcPr>
          <w:p w14:paraId="74845371" w14:textId="3D9F7CCC" w:rsidR="003238A4" w:rsidRPr="00347728" w:rsidRDefault="003238A4" w:rsidP="003845AE">
            <w:r>
              <w:rPr>
                <w:color w:val="002060"/>
              </w:rPr>
              <w:t>scala di emergenza scuola media</w:t>
            </w:r>
          </w:p>
        </w:tc>
        <w:tc>
          <w:tcPr>
            <w:tcW w:w="2969" w:type="dxa"/>
          </w:tcPr>
          <w:p w14:paraId="7DE7CC99" w14:textId="5ADF67F2" w:rsidR="003238A4" w:rsidRPr="00347728" w:rsidRDefault="003238A4" w:rsidP="003845AE">
            <w:r>
              <w:rPr>
                <w:color w:val="002060"/>
              </w:rPr>
              <w:t>€ 80.000</w:t>
            </w:r>
          </w:p>
        </w:tc>
      </w:tr>
      <w:tr w:rsidR="003238A4" w:rsidRPr="00347728" w14:paraId="6CD4E6D2" w14:textId="77777777" w:rsidTr="00323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11" w:type="dxa"/>
          </w:tcPr>
          <w:p w14:paraId="029E467D" w14:textId="442559DB" w:rsidR="003238A4" w:rsidRPr="00347728" w:rsidRDefault="003238A4" w:rsidP="003845AE">
            <w:r>
              <w:rPr>
                <w:color w:val="002060"/>
              </w:rPr>
              <w:t>messa in sicurezza degli edifici scolastici</w:t>
            </w:r>
          </w:p>
        </w:tc>
        <w:tc>
          <w:tcPr>
            <w:tcW w:w="2969" w:type="dxa"/>
          </w:tcPr>
          <w:p w14:paraId="3F70FE34" w14:textId="4ADEFD20" w:rsidR="003238A4" w:rsidRPr="00347728" w:rsidRDefault="003238A4" w:rsidP="003845AE">
            <w:r>
              <w:rPr>
                <w:color w:val="002060"/>
              </w:rPr>
              <w:t>€ 630.000</w:t>
            </w:r>
          </w:p>
        </w:tc>
      </w:tr>
      <w:tr w:rsidR="003238A4" w:rsidRPr="00347728" w14:paraId="5EC1F202" w14:textId="77777777" w:rsidTr="003238A4">
        <w:tc>
          <w:tcPr>
            <w:tcW w:w="12611" w:type="dxa"/>
          </w:tcPr>
          <w:p w14:paraId="366ACBE3" w14:textId="0DC495C1" w:rsidR="003238A4" w:rsidRPr="00347728" w:rsidRDefault="003238A4" w:rsidP="003845AE">
            <w:r>
              <w:rPr>
                <w:color w:val="002060"/>
              </w:rPr>
              <w:t>consolidamento parete rocciosa Piazzale della Chiesa a Riomaggiore, intersezione Via Telemaco con Via Pecunia e tratto Via Pecunia</w:t>
            </w:r>
          </w:p>
        </w:tc>
        <w:tc>
          <w:tcPr>
            <w:tcW w:w="2969" w:type="dxa"/>
          </w:tcPr>
          <w:p w14:paraId="72987B5F" w14:textId="5CBCC9CB" w:rsidR="003238A4" w:rsidRPr="00347728" w:rsidRDefault="003238A4" w:rsidP="003845AE">
            <w:r>
              <w:rPr>
                <w:color w:val="002060"/>
              </w:rPr>
              <w:t>€ 90.000</w:t>
            </w:r>
          </w:p>
        </w:tc>
      </w:tr>
      <w:tr w:rsidR="003238A4" w:rsidRPr="00347728" w14:paraId="0827B930" w14:textId="77777777" w:rsidTr="00323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11" w:type="dxa"/>
          </w:tcPr>
          <w:p w14:paraId="3E4F7A43" w14:textId="3B7EFE98" w:rsidR="003238A4" w:rsidRPr="00347728" w:rsidRDefault="003238A4" w:rsidP="003845AE">
            <w:r>
              <w:rPr>
                <w:color w:val="002060"/>
              </w:rPr>
              <w:t xml:space="preserve">consolidamento parte rocciosa </w:t>
            </w:r>
            <w:proofErr w:type="spellStart"/>
            <w:r>
              <w:rPr>
                <w:color w:val="002060"/>
              </w:rPr>
              <w:t>Possaitara</w:t>
            </w:r>
            <w:proofErr w:type="spellEnd"/>
          </w:p>
        </w:tc>
        <w:tc>
          <w:tcPr>
            <w:tcW w:w="2969" w:type="dxa"/>
          </w:tcPr>
          <w:p w14:paraId="78EBC66A" w14:textId="7E1642BB" w:rsidR="003238A4" w:rsidRPr="00347728" w:rsidRDefault="003238A4" w:rsidP="003845AE">
            <w:r>
              <w:rPr>
                <w:color w:val="002060"/>
              </w:rPr>
              <w:t>€ 140.000</w:t>
            </w:r>
          </w:p>
        </w:tc>
      </w:tr>
      <w:tr w:rsidR="003238A4" w:rsidRPr="00347728" w14:paraId="15054809" w14:textId="77777777" w:rsidTr="003238A4">
        <w:tc>
          <w:tcPr>
            <w:tcW w:w="12611" w:type="dxa"/>
          </w:tcPr>
          <w:p w14:paraId="39771CA3" w14:textId="73989B97" w:rsidR="003238A4" w:rsidRPr="00347728" w:rsidRDefault="003238A4" w:rsidP="003845AE">
            <w:r>
              <w:rPr>
                <w:color w:val="002060"/>
              </w:rPr>
              <w:t>consolidamento VIAE’</w:t>
            </w:r>
          </w:p>
        </w:tc>
        <w:tc>
          <w:tcPr>
            <w:tcW w:w="2969" w:type="dxa"/>
          </w:tcPr>
          <w:p w14:paraId="7091660F" w14:textId="6B161E5D" w:rsidR="003238A4" w:rsidRPr="00347728" w:rsidRDefault="003238A4" w:rsidP="003845AE">
            <w:r>
              <w:rPr>
                <w:color w:val="002060"/>
              </w:rPr>
              <w:t>€ 38.000</w:t>
            </w:r>
          </w:p>
        </w:tc>
      </w:tr>
      <w:tr w:rsidR="003238A4" w:rsidRPr="00347728" w14:paraId="150448FC" w14:textId="77777777" w:rsidTr="00323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11" w:type="dxa"/>
          </w:tcPr>
          <w:p w14:paraId="788CB2C4" w14:textId="41ED827B" w:rsidR="003238A4" w:rsidRDefault="003238A4" w:rsidP="003845AE">
            <w:pPr>
              <w:rPr>
                <w:color w:val="002060"/>
              </w:rPr>
            </w:pPr>
            <w:r>
              <w:rPr>
                <w:color w:val="002060"/>
              </w:rPr>
              <w:t>consolidamento Piazza S. Giacomo Riomaggiore</w:t>
            </w:r>
          </w:p>
        </w:tc>
        <w:tc>
          <w:tcPr>
            <w:tcW w:w="2969" w:type="dxa"/>
          </w:tcPr>
          <w:p w14:paraId="48B2F8EC" w14:textId="34FAE41D" w:rsidR="003238A4" w:rsidRDefault="003238A4" w:rsidP="003845AE">
            <w:pPr>
              <w:rPr>
                <w:color w:val="002060"/>
              </w:rPr>
            </w:pPr>
            <w:r>
              <w:rPr>
                <w:color w:val="002060"/>
              </w:rPr>
              <w:t>€ 250.000</w:t>
            </w:r>
          </w:p>
        </w:tc>
      </w:tr>
      <w:tr w:rsidR="001549D8" w:rsidRPr="00347728" w14:paraId="5925C61D" w14:textId="77777777" w:rsidTr="003238A4">
        <w:tc>
          <w:tcPr>
            <w:tcW w:w="12611" w:type="dxa"/>
          </w:tcPr>
          <w:p w14:paraId="701244EB" w14:textId="3A25D98C" w:rsidR="001549D8" w:rsidRDefault="001549D8" w:rsidP="003845AE">
            <w:pPr>
              <w:rPr>
                <w:color w:val="002060"/>
              </w:rPr>
            </w:pPr>
            <w:r>
              <w:rPr>
                <w:color w:val="002060"/>
              </w:rPr>
              <w:t>progetto di videosorveglianza</w:t>
            </w:r>
          </w:p>
        </w:tc>
        <w:tc>
          <w:tcPr>
            <w:tcW w:w="2969" w:type="dxa"/>
          </w:tcPr>
          <w:p w14:paraId="07EAE37C" w14:textId="51857D6D" w:rsidR="001549D8" w:rsidRDefault="001549D8" w:rsidP="003845AE">
            <w:pPr>
              <w:rPr>
                <w:color w:val="002060"/>
              </w:rPr>
            </w:pPr>
            <w:r>
              <w:rPr>
                <w:color w:val="002060"/>
              </w:rPr>
              <w:t>€ 225.000</w:t>
            </w:r>
          </w:p>
        </w:tc>
      </w:tr>
      <w:tr w:rsidR="001549D8" w:rsidRPr="00347728" w14:paraId="342FABD4" w14:textId="77777777" w:rsidTr="00323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11" w:type="dxa"/>
          </w:tcPr>
          <w:p w14:paraId="57383B0F" w14:textId="58C502BB" w:rsidR="001549D8" w:rsidRDefault="001549D8" w:rsidP="003845AE">
            <w:pPr>
              <w:rPr>
                <w:color w:val="002060"/>
              </w:rPr>
            </w:pPr>
            <w:r>
              <w:rPr>
                <w:color w:val="002060"/>
              </w:rPr>
              <w:t>Dighe Manarola e Riomaggiore marina, Fossola e stazione</w:t>
            </w:r>
          </w:p>
        </w:tc>
        <w:tc>
          <w:tcPr>
            <w:tcW w:w="2969" w:type="dxa"/>
          </w:tcPr>
          <w:p w14:paraId="233E9D92" w14:textId="51F5B533" w:rsidR="001549D8" w:rsidRDefault="001549D8" w:rsidP="003845AE">
            <w:pPr>
              <w:rPr>
                <w:color w:val="002060"/>
              </w:rPr>
            </w:pPr>
            <w:r>
              <w:rPr>
                <w:color w:val="002060"/>
              </w:rPr>
              <w:t>€ 1.000.000</w:t>
            </w:r>
          </w:p>
        </w:tc>
      </w:tr>
    </w:tbl>
    <w:p w14:paraId="254ACA32" w14:textId="4A97C1D5" w:rsidR="00A90BDC" w:rsidRPr="00347728" w:rsidRDefault="00A90BDC" w:rsidP="00435404">
      <w:pPr>
        <w:pStyle w:val="Note"/>
      </w:pPr>
    </w:p>
    <w:sectPr w:rsidR="00A90BDC" w:rsidRPr="00347728" w:rsidSect="00347728">
      <w:footerReference w:type="default" r:id="rId10"/>
      <w:pgSz w:w="16838" w:h="11906" w:orient="landscape" w:code="9"/>
      <w:pgMar w:top="624" w:right="624" w:bottom="624" w:left="6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94E74" w14:textId="77777777" w:rsidR="00C44E88" w:rsidRDefault="00C44E88">
      <w:pPr>
        <w:spacing w:before="0" w:after="0" w:line="240" w:lineRule="auto"/>
      </w:pPr>
      <w:r>
        <w:separator/>
      </w:r>
    </w:p>
  </w:endnote>
  <w:endnote w:type="continuationSeparator" w:id="0">
    <w:p w14:paraId="67916DA5" w14:textId="77777777" w:rsidR="00C44E88" w:rsidRDefault="00C44E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C6EB1" w14:textId="77777777" w:rsidR="009820C4" w:rsidRDefault="00F6357D">
    <w:pPr>
      <w:pStyle w:val="Pidipagina"/>
      <w:jc w:val="center"/>
    </w:pPr>
    <w:r>
      <w:rPr>
        <w:lang w:bidi="it-IT"/>
      </w:rPr>
      <w:t xml:space="preserve">Pagina |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347728"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27776" w14:textId="77777777" w:rsidR="00C44E88" w:rsidRDefault="00C44E88">
      <w:pPr>
        <w:spacing w:before="0" w:after="0" w:line="240" w:lineRule="auto"/>
      </w:pPr>
      <w:r>
        <w:separator/>
      </w:r>
    </w:p>
  </w:footnote>
  <w:footnote w:type="continuationSeparator" w:id="0">
    <w:p w14:paraId="6FB6F4DB" w14:textId="77777777" w:rsidR="00C44E88" w:rsidRDefault="00C44E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A066C4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8628E2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3824E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C4246A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B0159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2278C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0A442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C6932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CDC3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A95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A4"/>
    <w:rsid w:val="000361C9"/>
    <w:rsid w:val="0006458F"/>
    <w:rsid w:val="0010397A"/>
    <w:rsid w:val="001549D8"/>
    <w:rsid w:val="001B59E6"/>
    <w:rsid w:val="003238A4"/>
    <w:rsid w:val="00347728"/>
    <w:rsid w:val="00354217"/>
    <w:rsid w:val="003845AE"/>
    <w:rsid w:val="003D37C2"/>
    <w:rsid w:val="00411E92"/>
    <w:rsid w:val="00435404"/>
    <w:rsid w:val="0048305A"/>
    <w:rsid w:val="004E18A7"/>
    <w:rsid w:val="005960F1"/>
    <w:rsid w:val="005962A4"/>
    <w:rsid w:val="005D6DE4"/>
    <w:rsid w:val="006240A7"/>
    <w:rsid w:val="0069119A"/>
    <w:rsid w:val="006E74B0"/>
    <w:rsid w:val="00706A0B"/>
    <w:rsid w:val="0071404F"/>
    <w:rsid w:val="008A39D5"/>
    <w:rsid w:val="008A69B1"/>
    <w:rsid w:val="00906744"/>
    <w:rsid w:val="009469C9"/>
    <w:rsid w:val="009820C4"/>
    <w:rsid w:val="009E5C4F"/>
    <w:rsid w:val="00A90BDC"/>
    <w:rsid w:val="00B375B0"/>
    <w:rsid w:val="00B4766A"/>
    <w:rsid w:val="00B6188C"/>
    <w:rsid w:val="00B76EA0"/>
    <w:rsid w:val="00BB2A0D"/>
    <w:rsid w:val="00C25AF8"/>
    <w:rsid w:val="00C44E88"/>
    <w:rsid w:val="00C669BB"/>
    <w:rsid w:val="00C72317"/>
    <w:rsid w:val="00CC3438"/>
    <w:rsid w:val="00D03F55"/>
    <w:rsid w:val="00D476D9"/>
    <w:rsid w:val="00D85D09"/>
    <w:rsid w:val="00E42593"/>
    <w:rsid w:val="00E962D2"/>
    <w:rsid w:val="00EB5927"/>
    <w:rsid w:val="00F15B49"/>
    <w:rsid w:val="00F237BB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17137"/>
  <w15:chartTrackingRefBased/>
  <w15:docId w15:val="{76C8A04B-9307-4797-BEA4-1A59906E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5AE"/>
    <w:rPr>
      <w:szCs w:val="20"/>
    </w:rPr>
  </w:style>
  <w:style w:type="paragraph" w:styleId="Titolo1">
    <w:name w:val="heading 1"/>
    <w:basedOn w:val="Normale"/>
    <w:next w:val="Normale"/>
    <w:uiPriority w:val="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2"/>
    <w:semiHidden/>
    <w:unhideWhenUsed/>
    <w:qFormat/>
    <w:rsid w:val="0043540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2"/>
    <w:semiHidden/>
    <w:unhideWhenUsed/>
    <w:rsid w:val="001B59E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2"/>
    <w:semiHidden/>
    <w:unhideWhenUsed/>
    <w:qFormat/>
    <w:rsid w:val="001B59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2"/>
    <w:semiHidden/>
    <w:unhideWhenUsed/>
    <w:qFormat/>
    <w:rsid w:val="001B59E6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2"/>
    <w:semiHidden/>
    <w:unhideWhenUsed/>
    <w:qFormat/>
    <w:rsid w:val="001B59E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2"/>
    <w:semiHidden/>
    <w:unhideWhenUsed/>
    <w:qFormat/>
    <w:rsid w:val="001B59E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2"/>
    <w:semiHidden/>
    <w:unhideWhenUsed/>
    <w:qFormat/>
    <w:rsid w:val="001B59E6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2"/>
    <w:semiHidden/>
    <w:unhideWhenUsed/>
    <w:qFormat/>
    <w:rsid w:val="001B59E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uiPriority w:val="1"/>
    <w:qFormat/>
    <w:rsid w:val="00CC3438"/>
    <w:pPr>
      <w:pBdr>
        <w:top w:val="single" w:sz="12" w:space="1" w:color="595959" w:themeColor="text1" w:themeTint="A6"/>
      </w:pBdr>
      <w:spacing w:before="0" w:after="120" w:line="240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table" w:styleId="Tabellagriglia4-colore1">
    <w:name w:val="Grid Table 4 Accent 1"/>
    <w:basedOn w:val="Tabellanormale"/>
    <w:uiPriority w:val="49"/>
    <w:rsid w:val="00A90BDC"/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E74B5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8A69B1"/>
    <w:rPr>
      <w:color w:val="595959" w:themeColor="text1" w:themeTint="A6"/>
      <w:sz w:val="22"/>
    </w:rPr>
  </w:style>
  <w:style w:type="paragraph" w:customStyle="1" w:styleId="Note">
    <w:name w:val="Note"/>
    <w:basedOn w:val="Normale"/>
    <w:uiPriority w:val="3"/>
    <w:qFormat/>
  </w:style>
  <w:style w:type="paragraph" w:styleId="Pidipagina">
    <w:name w:val="footer"/>
    <w:basedOn w:val="Normale"/>
    <w:link w:val="PidipaginaCarattere"/>
    <w:uiPriority w:val="99"/>
    <w:unhideWhenUsed/>
    <w:rsid w:val="003845AE"/>
    <w:pPr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5AE"/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9E6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B59E6"/>
  </w:style>
  <w:style w:type="paragraph" w:styleId="Testodelblocco">
    <w:name w:val="Block Text"/>
    <w:basedOn w:val="Normale"/>
    <w:uiPriority w:val="99"/>
    <w:semiHidden/>
    <w:unhideWhenUsed/>
    <w:rsid w:val="008A69B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2E74B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59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59E6"/>
    <w:rPr>
      <w:sz w:val="22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59E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B59E6"/>
    <w:rPr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B59E6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B59E6"/>
    <w:rPr>
      <w:sz w:val="22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1B59E6"/>
    <w:pPr>
      <w:spacing w:after="4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1B59E6"/>
    <w:rPr>
      <w:sz w:val="22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B59E6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B59E6"/>
    <w:rPr>
      <w:sz w:val="22"/>
      <w:szCs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B59E6"/>
    <w:pPr>
      <w:spacing w:after="4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B59E6"/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B59E6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B59E6"/>
    <w:rPr>
      <w:sz w:val="22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B59E6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B59E6"/>
    <w:rPr>
      <w:sz w:val="22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1B59E6"/>
    <w:rPr>
      <w:b/>
      <w:bCs/>
      <w:i/>
      <w:iCs/>
      <w:spacing w:val="5"/>
      <w:sz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59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1B59E6"/>
    <w:rPr>
      <w:sz w:val="22"/>
      <w:szCs w:val="20"/>
    </w:rPr>
  </w:style>
  <w:style w:type="table" w:styleId="Grigliaacolori">
    <w:name w:val="Colorful Grid"/>
    <w:basedOn w:val="Tabellanormale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B59E6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59E6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59E6"/>
    <w:rPr>
      <w:sz w:val="22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59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59E6"/>
    <w:rPr>
      <w:b/>
      <w:bCs/>
      <w:sz w:val="22"/>
      <w:szCs w:val="20"/>
    </w:rPr>
  </w:style>
  <w:style w:type="table" w:styleId="Elencoscuro">
    <w:name w:val="Dark List"/>
    <w:basedOn w:val="Tabellanormale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B59E6"/>
  </w:style>
  <w:style w:type="character" w:customStyle="1" w:styleId="DataCarattere">
    <w:name w:val="Data Carattere"/>
    <w:basedOn w:val="Carpredefinitoparagrafo"/>
    <w:link w:val="Data"/>
    <w:uiPriority w:val="99"/>
    <w:semiHidden/>
    <w:rsid w:val="001B59E6"/>
    <w:rPr>
      <w:sz w:val="22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B59E6"/>
    <w:rPr>
      <w:rFonts w:ascii="Segoe UI" w:hAnsi="Segoe UI" w:cs="Segoe UI"/>
      <w:sz w:val="22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1B59E6"/>
    <w:rPr>
      <w:sz w:val="22"/>
      <w:szCs w:val="20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1B59E6"/>
    <w:rPr>
      <w:i/>
      <w:iCs/>
      <w:sz w:val="22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B59E6"/>
    <w:rPr>
      <w:sz w:val="22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B59E6"/>
    <w:rPr>
      <w:sz w:val="22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1B59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1B59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9E6"/>
    <w:rPr>
      <w:color w:val="954F72" w:themeColor="followedHyperlink"/>
      <w:sz w:val="22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59E6"/>
    <w:rPr>
      <w:sz w:val="22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59E6"/>
    <w:rPr>
      <w:sz w:val="22"/>
      <w:szCs w:val="20"/>
    </w:rPr>
  </w:style>
  <w:style w:type="table" w:styleId="Tabellagriglia1chiara">
    <w:name w:val="Grid Table 1 Light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845AE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5AE"/>
    <w:rPr>
      <w:szCs w:val="20"/>
    </w:rPr>
  </w:style>
  <w:style w:type="character" w:customStyle="1" w:styleId="Titolo3Carattere">
    <w:name w:val="Titolo 3 Carattere"/>
    <w:basedOn w:val="Carpredefinitoparagrafo"/>
    <w:link w:val="Titolo3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semiHidden/>
    <w:rsid w:val="006240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2"/>
    <w:semiHidden/>
    <w:rsid w:val="006240A7"/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2"/>
    <w:semiHidden/>
    <w:rsid w:val="006240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2"/>
    <w:semiHidden/>
    <w:rsid w:val="006240A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2"/>
    <w:semiHidden/>
    <w:rsid w:val="006240A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1B59E6"/>
    <w:rPr>
      <w:sz w:val="22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B59E6"/>
    <w:pPr>
      <w:spacing w:before="0"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B59E6"/>
    <w:rPr>
      <w:i/>
      <w:iCs/>
      <w:sz w:val="22"/>
      <w:szCs w:val="20"/>
    </w:rPr>
  </w:style>
  <w:style w:type="character" w:styleId="CitazioneHTML">
    <w:name w:val="HTML Cite"/>
    <w:basedOn w:val="Carpredefinitoparagrafo"/>
    <w:uiPriority w:val="99"/>
    <w:semiHidden/>
    <w:unhideWhenUsed/>
    <w:rsid w:val="001B59E6"/>
    <w:rPr>
      <w:i/>
      <w:iCs/>
      <w:sz w:val="22"/>
    </w:rPr>
  </w:style>
  <w:style w:type="character" w:styleId="CodiceHTML">
    <w:name w:val="HTML Code"/>
    <w:basedOn w:val="Carpredefinitoparagrafo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1B59E6"/>
    <w:rPr>
      <w:i/>
      <w:iCs/>
      <w:sz w:val="22"/>
    </w:rPr>
  </w:style>
  <w:style w:type="character" w:styleId="TastieraHTML">
    <w:name w:val="HTML Keyboard"/>
    <w:basedOn w:val="Carpredefinitoparagrafo"/>
    <w:uiPriority w:val="99"/>
    <w:semiHidden/>
    <w:unhideWhenUsed/>
    <w:rsid w:val="001B59E6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B59E6"/>
    <w:rPr>
      <w:rFonts w:ascii="Consolas" w:hAnsi="Consolas"/>
      <w:sz w:val="22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1B59E6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1B59E6"/>
    <w:rPr>
      <w:i/>
      <w:iCs/>
      <w:sz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1B59E6"/>
    <w:rPr>
      <w:color w:val="0563C1" w:themeColor="hyperlink"/>
      <w:sz w:val="22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B59E6"/>
    <w:pPr>
      <w:spacing w:before="0" w:after="0" w:line="240" w:lineRule="auto"/>
      <w:ind w:left="1800" w:hanging="20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1B59E6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8A69B1"/>
    <w:rPr>
      <w:i/>
      <w:iCs/>
      <w:color w:val="2E74B5" w:themeColor="accent1" w:themeShade="BF"/>
      <w:sz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A69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A69B1"/>
    <w:rPr>
      <w:i/>
      <w:iCs/>
      <w:color w:val="2E74B5" w:themeColor="accent1" w:themeShade="BF"/>
      <w:szCs w:val="2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A69B1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Grigliachiara">
    <w:name w:val="Light Grid"/>
    <w:basedOn w:val="Tabellanormale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1B59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1B59E6"/>
    <w:rPr>
      <w:sz w:val="22"/>
    </w:rPr>
  </w:style>
  <w:style w:type="paragraph" w:styleId="Elenco">
    <w:name w:val="List"/>
    <w:basedOn w:val="Normale"/>
    <w:uiPriority w:val="99"/>
    <w:semiHidden/>
    <w:unhideWhenUsed/>
    <w:rsid w:val="001B59E6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1B59E6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1B59E6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1B59E6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1B59E6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1B59E6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1B59E6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1B59E6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1B59E6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1B59E6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1B59E6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1B59E6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1B59E6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1B59E6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1B59E6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1B59E6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1B59E6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1B59E6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1B59E6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1B59E6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1B59E6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1B5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1B59E6"/>
    <w:rPr>
      <w:rFonts w:ascii="Consolas" w:hAnsi="Consolas"/>
      <w:sz w:val="22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B5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1B5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1B59E6"/>
    <w:pPr>
      <w:spacing w:after="0" w:line="240" w:lineRule="auto"/>
    </w:pPr>
    <w:rPr>
      <w:szCs w:val="20"/>
    </w:rPr>
  </w:style>
  <w:style w:type="paragraph" w:styleId="NormaleWeb">
    <w:name w:val="Normal (Web)"/>
    <w:basedOn w:val="Normale"/>
    <w:uiPriority w:val="99"/>
    <w:semiHidden/>
    <w:unhideWhenUsed/>
    <w:rsid w:val="001B59E6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1B59E6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1B59E6"/>
    <w:rPr>
      <w:sz w:val="22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1B59E6"/>
    <w:rPr>
      <w:sz w:val="22"/>
    </w:rPr>
  </w:style>
  <w:style w:type="table" w:styleId="Tabellasemplice-1">
    <w:name w:val="Plain Table 1"/>
    <w:basedOn w:val="Tabellanormale"/>
    <w:uiPriority w:val="41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E6"/>
    <w:rPr>
      <w:rFonts w:ascii="Consolas" w:hAnsi="Consolas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1B5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1B59E6"/>
    <w:rPr>
      <w:i/>
      <w:iCs/>
      <w:color w:val="404040" w:themeColor="text1" w:themeTint="BF"/>
      <w:sz w:val="22"/>
      <w:szCs w:val="20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B59E6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1B59E6"/>
    <w:rPr>
      <w:sz w:val="22"/>
      <w:szCs w:val="20"/>
    </w:rPr>
  </w:style>
  <w:style w:type="paragraph" w:styleId="Firma">
    <w:name w:val="Signature"/>
    <w:basedOn w:val="Normale"/>
    <w:link w:val="FirmaCarattere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1B59E6"/>
    <w:rPr>
      <w:sz w:val="22"/>
      <w:szCs w:val="20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1B59E6"/>
    <w:rPr>
      <w:b/>
      <w:bCs/>
      <w:sz w:val="2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1B59E6"/>
    <w:pPr>
      <w:numPr>
        <w:ilvl w:val="1"/>
      </w:numPr>
      <w:spacing w:after="160"/>
      <w:ind w:left="43"/>
    </w:pPr>
    <w:rPr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1B59E6"/>
    <w:rPr>
      <w:color w:val="5A5A5A" w:themeColor="text1" w:themeTint="A5"/>
      <w:spacing w:val="15"/>
      <w:sz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1B59E6"/>
    <w:rPr>
      <w:i/>
      <w:iCs/>
      <w:color w:val="404040" w:themeColor="text1" w:themeTint="BF"/>
      <w:sz w:val="22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1B59E6"/>
    <w:rPr>
      <w:smallCaps/>
      <w:color w:val="5A5A5A" w:themeColor="text1" w:themeTint="A5"/>
      <w:sz w:val="22"/>
    </w:rPr>
  </w:style>
  <w:style w:type="table" w:styleId="Tabellaeffetti3D1">
    <w:name w:val="Table 3D effects 1"/>
    <w:basedOn w:val="Tabellanormale"/>
    <w:uiPriority w:val="99"/>
    <w:semiHidden/>
    <w:unhideWhenUsed/>
    <w:rsid w:val="001B59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1B59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1B5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1B59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1B59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1B59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1B59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1B59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1B59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1B59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1B59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1B59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1B59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1B59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1B59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1B59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1B59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1B59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1B59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1B59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1B59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1B59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1B59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1B59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1B59E6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1B59E6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1B59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1B5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1B59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1B59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1B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1B59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1B59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1B59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1B5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B59E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B59E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B59E6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B59E6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B59E6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B59E6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B59E6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B59E6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B59E6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59E6"/>
    <w:pPr>
      <w:spacing w:after="0"/>
      <w:outlineLvl w:val="9"/>
    </w:pPr>
    <w:rPr>
      <w:caps w:val="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2"/>
    <w:semiHidden/>
    <w:rsid w:val="00435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.pagano\AppData\Roaming\Microsoft\Templates\Itinerario%20di%20viaggio%20di%20lavoro.dotx" TargetMode="External"/></Relationships>
</file>

<file path=word/theme/theme1.xml><?xml version="1.0" encoding="utf-8"?>
<a:theme xmlns:a="http://schemas.openxmlformats.org/drawingml/2006/main" name="Business trip itinera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3B449-B68A-4532-82AA-C4A18DDDF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BC67A-712B-4DE3-859F-53F8BEBABF8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E07874D-9613-4190-9935-9DD31CFE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Itinerario di viaggio di lavoro.dotx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CP. Pagano</dc:creator>
  <cp:lastModifiedBy>Cristian CP. Pagano</cp:lastModifiedBy>
  <cp:revision>1</cp:revision>
  <dcterms:created xsi:type="dcterms:W3CDTF">2020-11-23T09:45:00Z</dcterms:created>
  <dcterms:modified xsi:type="dcterms:W3CDTF">2020-11-23T09:56:00Z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