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A85E4" w14:textId="77777777" w:rsidR="00E90A34" w:rsidRDefault="00E90A34" w:rsidP="00B94478">
      <w:pPr>
        <w:spacing w:after="0"/>
        <w:jc w:val="center"/>
        <w:rPr>
          <w:i/>
        </w:rPr>
      </w:pPr>
      <w:r>
        <w:rPr>
          <w:i/>
        </w:rPr>
        <w:t>Via Signorini n. 118,  19017 Riomaggiore (SP) tel. 0187 760219 – fax 0187 920866</w:t>
      </w:r>
    </w:p>
    <w:p w14:paraId="645F7E20" w14:textId="77777777" w:rsidR="00E90A34" w:rsidRDefault="00E90A34" w:rsidP="00B94478">
      <w:pPr>
        <w:spacing w:after="0"/>
        <w:jc w:val="center"/>
        <w:rPr>
          <w:i/>
          <w:lang w:val="en-US"/>
        </w:rPr>
      </w:pPr>
      <w:r>
        <w:rPr>
          <w:i/>
          <w:lang w:val="en-US"/>
        </w:rPr>
        <w:t xml:space="preserve">email: </w:t>
      </w:r>
      <w:hyperlink r:id="rId7" w:history="1">
        <w:r>
          <w:rPr>
            <w:rStyle w:val="Collegamentoipertestuale"/>
            <w:i/>
            <w:lang w:val="en-US"/>
          </w:rPr>
          <w:t>urp@comune.riomaggiore.sp.it</w:t>
        </w:r>
      </w:hyperlink>
      <w:r>
        <w:rPr>
          <w:i/>
          <w:lang w:val="en-US"/>
        </w:rPr>
        <w:t xml:space="preserve">     /     pec: </w:t>
      </w:r>
      <w:hyperlink r:id="rId8" w:history="1">
        <w:r>
          <w:rPr>
            <w:rStyle w:val="Collegamentoipertestuale"/>
            <w:i/>
            <w:lang w:val="en-US"/>
          </w:rPr>
          <w:t>segreteria@pec-comunediriomaggiore.it</w:t>
        </w:r>
      </w:hyperlink>
    </w:p>
    <w:p w14:paraId="0444CAAD" w14:textId="2E0E402D" w:rsidR="009D16A0" w:rsidRDefault="009D16A0" w:rsidP="002F162F">
      <w:pPr>
        <w:rPr>
          <w:lang w:val="en-US"/>
        </w:rPr>
      </w:pPr>
    </w:p>
    <w:p w14:paraId="1C0CD216" w14:textId="7643BD1D" w:rsidR="009141A8" w:rsidRPr="009141A8" w:rsidRDefault="009141A8" w:rsidP="009141A8">
      <w:pPr>
        <w:pStyle w:val="Titolo4"/>
        <w:jc w:val="center"/>
        <w:rPr>
          <w:rFonts w:ascii="Times New Roman" w:eastAsia="Times New Roman" w:hAnsi="Times New Roman" w:cs="Times New Roman"/>
          <w:i w:val="0"/>
          <w:iCs w:val="0"/>
          <w:color w:val="000000"/>
          <w:kern w:val="2"/>
          <w:sz w:val="40"/>
          <w:szCs w:val="40"/>
          <w14:ligatures w14:val="standardContextual"/>
        </w:rPr>
      </w:pPr>
      <w:bookmarkStart w:id="0" w:name="_Hlk191466156"/>
      <w:r w:rsidRPr="009141A8">
        <w:rPr>
          <w:rFonts w:ascii="Times New Roman" w:eastAsia="Times New Roman" w:hAnsi="Times New Roman" w:cs="Times New Roman"/>
          <w:i w:val="0"/>
          <w:iCs w:val="0"/>
          <w:color w:val="000000"/>
          <w:kern w:val="2"/>
          <w:sz w:val="40"/>
          <w:szCs w:val="40"/>
          <w14:ligatures w14:val="standardContextual"/>
        </w:rPr>
        <w:t>Regolamento per l'attribuzione di specifiche responsabilità</w:t>
      </w:r>
    </w:p>
    <w:p w14:paraId="08128359" w14:textId="29713502" w:rsidR="009141A8" w:rsidRPr="009141A8" w:rsidRDefault="009141A8" w:rsidP="009141A8">
      <w:pPr>
        <w:jc w:val="center"/>
        <w:rPr>
          <w:i/>
          <w:iCs/>
          <w:sz w:val="22"/>
          <w:szCs w:val="22"/>
        </w:rPr>
      </w:pPr>
      <w:r w:rsidRPr="009141A8">
        <w:rPr>
          <w:i/>
          <w:iCs/>
          <w:sz w:val="22"/>
          <w:szCs w:val="22"/>
        </w:rPr>
        <w:t xml:space="preserve">Approvato con DGC n. </w:t>
      </w:r>
      <w:r w:rsidR="00FD1EBC">
        <w:rPr>
          <w:i/>
          <w:iCs/>
          <w:sz w:val="22"/>
          <w:szCs w:val="22"/>
        </w:rPr>
        <w:t>33</w:t>
      </w:r>
      <w:r w:rsidRPr="009141A8">
        <w:rPr>
          <w:i/>
          <w:iCs/>
          <w:sz w:val="22"/>
          <w:szCs w:val="22"/>
        </w:rPr>
        <w:t xml:space="preserve"> del </w:t>
      </w:r>
      <w:r w:rsidR="00FD1EBC">
        <w:rPr>
          <w:i/>
          <w:iCs/>
          <w:sz w:val="22"/>
          <w:szCs w:val="22"/>
        </w:rPr>
        <w:t>15.03.2025</w:t>
      </w:r>
    </w:p>
    <w:p w14:paraId="4EBF2A35" w14:textId="77777777" w:rsidR="009141A8" w:rsidRDefault="009141A8" w:rsidP="009141A8">
      <w:pPr>
        <w:pStyle w:val="Titolo4"/>
        <w:jc w:val="both"/>
      </w:pPr>
    </w:p>
    <w:p w14:paraId="0C80BDA9" w14:textId="44BE2C88" w:rsidR="009141A8" w:rsidRDefault="009141A8" w:rsidP="009141A8">
      <w:pPr>
        <w:pStyle w:val="Titolo4"/>
        <w:jc w:val="both"/>
      </w:pPr>
      <w:r>
        <w:t xml:space="preserve">ART. 1 DEFINIZIONE E FINALITÀ DEL COMPENSO  </w:t>
      </w:r>
    </w:p>
    <w:p w14:paraId="41F8A5C1" w14:textId="77777777" w:rsidR="009141A8" w:rsidRDefault="009141A8" w:rsidP="009141A8">
      <w:pPr>
        <w:spacing w:after="0" w:line="259" w:lineRule="auto"/>
      </w:pPr>
      <w:r>
        <w:rPr>
          <w:b/>
          <w:sz w:val="28"/>
        </w:rPr>
        <w:t xml:space="preserve"> </w:t>
      </w:r>
    </w:p>
    <w:p w14:paraId="7AFBC124" w14:textId="77777777" w:rsidR="009141A8" w:rsidRDefault="009141A8" w:rsidP="009141A8">
      <w:pPr>
        <w:pStyle w:val="Paragrafoelenco"/>
        <w:numPr>
          <w:ilvl w:val="0"/>
          <w:numId w:val="4"/>
        </w:numPr>
        <w:ind w:right="53"/>
      </w:pPr>
      <w:r>
        <w:t xml:space="preserve">Per Specifiche Responsabilità ai sensi dell’art. 84 del CCNL 16/11/2022 si intendono le attività, oltre quanto già stabilito sul CCNL stesso, di coordinamento di un Ufficio e/o dei correlati procedimenti amministrativi di elevata complessità in piena autonomia gestionale e organizzativa </w:t>
      </w:r>
    </w:p>
    <w:p w14:paraId="272D6EBA" w14:textId="77777777" w:rsidR="009141A8" w:rsidRDefault="009141A8" w:rsidP="009141A8">
      <w:pPr>
        <w:pStyle w:val="Paragrafoelenco"/>
        <w:numPr>
          <w:ilvl w:val="0"/>
          <w:numId w:val="4"/>
        </w:numPr>
        <w:ind w:right="53"/>
      </w:pPr>
      <w:r>
        <w:t xml:space="preserve">Il compenso è finalizzato a remunerare le posizioni lavorative che esercitano effettive funzioni che implicano specifiche responsabilità. Non possono essere retribuiti con il suddetto compenso compiti e funzioni che rientrano nel normale oggetto delle attività dei dipendenti, sulla base delle indicazioni della declaratoria professionale della contrattazione nazionale, come eventualmente integrata dagli accordi di ente.  </w:t>
      </w:r>
    </w:p>
    <w:p w14:paraId="14FD97BC" w14:textId="77777777" w:rsidR="009141A8" w:rsidRDefault="009141A8" w:rsidP="009141A8">
      <w:pPr>
        <w:pStyle w:val="Paragrafoelenco"/>
        <w:numPr>
          <w:ilvl w:val="0"/>
          <w:numId w:val="4"/>
        </w:numPr>
        <w:ind w:right="53"/>
      </w:pPr>
      <w:r>
        <w:t xml:space="preserve">Per compensare l’esercizio di un ruolo che, in base all’organizzazione degli enti, comporta l’espletamento di compiti di specifiche responsabilità, attribuite con atto formale, in capo al personale delle aree Operatori, Operatori Esperti, Istruttori e Funzionari ed EQ, che non risulti titolare di incarico di EQ, ai sensi dell’art. 16 del CCNL 16/11/2022 e seguenti, può essere riconosciuta, secondo i criteri generali di cui all’art. 7 comma 4 lett. f) (Contrattazione integrativa), una indennità di importo non superiore a € 3.000 annui lordi, erogabili anche mensilmente, elevabili fino ad un massimo di € 4.000 per il personale inquadrato nell’Area dei Funzionari ed EQ, con relativi oneri a carico del Fondo Risorse decentrate di cui all’art. 79 (Fondo risorse decentrate: costituzione).  </w:t>
      </w:r>
    </w:p>
    <w:p w14:paraId="5FB2C9AF" w14:textId="77777777" w:rsidR="009141A8" w:rsidRDefault="009141A8" w:rsidP="009141A8">
      <w:pPr>
        <w:spacing w:after="14" w:line="259" w:lineRule="auto"/>
      </w:pPr>
      <w:r>
        <w:t xml:space="preserve"> </w:t>
      </w:r>
    </w:p>
    <w:p w14:paraId="68F015DD" w14:textId="77777777" w:rsidR="009141A8" w:rsidRDefault="009141A8" w:rsidP="009141A8">
      <w:pPr>
        <w:pStyle w:val="Titolo4"/>
        <w:ind w:left="-5"/>
        <w:jc w:val="both"/>
      </w:pPr>
      <w:r>
        <w:t xml:space="preserve">ART. 2 REQUISITI RICHIESTI PER IL RICONOSCIMENTO DELLE SPECIFICHE RESPONSABILITÀ  </w:t>
      </w:r>
    </w:p>
    <w:p w14:paraId="5D83B093" w14:textId="77777777" w:rsidR="009141A8" w:rsidRDefault="009141A8" w:rsidP="009141A8">
      <w:pPr>
        <w:spacing w:after="0" w:line="259" w:lineRule="auto"/>
      </w:pPr>
      <w:r>
        <w:rPr>
          <w:b/>
          <w:sz w:val="28"/>
        </w:rPr>
        <w:t xml:space="preserve"> </w:t>
      </w:r>
    </w:p>
    <w:p w14:paraId="2019E9D2" w14:textId="77777777" w:rsidR="009141A8" w:rsidRDefault="009141A8" w:rsidP="009141A8">
      <w:pPr>
        <w:spacing w:after="35"/>
        <w:ind w:left="-5" w:right="53"/>
      </w:pPr>
      <w:r>
        <w:t xml:space="preserve">1. A titolo esemplificativo e non esaustivo le specifiche responsabilità possono essere assegnate per: </w:t>
      </w:r>
    </w:p>
    <w:p w14:paraId="1D2BDEC7" w14:textId="77777777" w:rsidR="009141A8" w:rsidRDefault="009141A8" w:rsidP="009141A8">
      <w:pPr>
        <w:pStyle w:val="Paragrafoelenco"/>
        <w:numPr>
          <w:ilvl w:val="0"/>
          <w:numId w:val="5"/>
        </w:numPr>
        <w:spacing w:after="35"/>
        <w:ind w:right="53"/>
      </w:pPr>
      <w:r>
        <w:t xml:space="preserve">specifiche responsabilità derivanti dall’esercizio di compiti legati ai processi digitalizzazione ed innovazione tecnologica della PA di cui al Codice dell’amministrazione in digitale (D.lgs. 7 marzo 2005, n. 82, e s.m.i - CAD); es: progettazione, realizzazione e lo sviluppo di servizi digitali e sistemi informatici; tenuta del protocollo informatico, gestione dei flussi documentali e degli archivi; </w:t>
      </w:r>
    </w:p>
    <w:p w14:paraId="370E48B1" w14:textId="77777777" w:rsidR="009141A8" w:rsidRDefault="009141A8" w:rsidP="009141A8">
      <w:pPr>
        <w:pStyle w:val="Paragrafoelenco"/>
        <w:numPr>
          <w:ilvl w:val="0"/>
          <w:numId w:val="5"/>
        </w:numPr>
        <w:spacing w:after="36"/>
        <w:ind w:right="53"/>
      </w:pPr>
      <w:r>
        <w:t xml:space="preserve">specifiche responsabilità derivanti dall’esercizio di compiti legati all’attuazione del Regolamento Generale sulla Protezione dei Dati - GDPR (Regolamento Europeo 2016/679); </w:t>
      </w:r>
    </w:p>
    <w:p w14:paraId="3A078452" w14:textId="77777777" w:rsidR="009141A8" w:rsidRDefault="009141A8" w:rsidP="009141A8">
      <w:pPr>
        <w:pStyle w:val="Paragrafoelenco"/>
        <w:numPr>
          <w:ilvl w:val="0"/>
          <w:numId w:val="5"/>
        </w:numPr>
        <w:ind w:right="53"/>
      </w:pPr>
      <w:r>
        <w:t xml:space="preserve">specifiche responsabilità derivanti dall’esercizio di compiti legati alle qualifiche di Ufficiale di stato civile ed anagrafe ed Ufficiale elettorale; nonché di responsabile dei Tributi; - specifiche responsabilità derivanti da compiti di tutoraggio o coordinamento di altro personale; </w:t>
      </w:r>
      <w:r w:rsidRPr="00BF751B">
        <w:rPr>
          <w:rFonts w:ascii="Calibri" w:eastAsia="Calibri" w:hAnsi="Calibri" w:cs="Calibri"/>
          <w:sz w:val="22"/>
        </w:rPr>
        <w:tab/>
      </w:r>
      <w:r w:rsidRPr="00BF751B">
        <w:rPr>
          <w:rFonts w:ascii="Century Gothic" w:eastAsia="Century Gothic" w:hAnsi="Century Gothic" w:cs="Century Gothic"/>
          <w:sz w:val="20"/>
        </w:rPr>
        <w:t xml:space="preserve"> </w:t>
      </w:r>
    </w:p>
    <w:p w14:paraId="4D6C0558" w14:textId="77777777" w:rsidR="009141A8" w:rsidRDefault="009141A8" w:rsidP="009141A8">
      <w:pPr>
        <w:pStyle w:val="Paragrafoelenco"/>
        <w:numPr>
          <w:ilvl w:val="0"/>
          <w:numId w:val="5"/>
        </w:numPr>
        <w:ind w:right="53"/>
      </w:pPr>
      <w:r>
        <w:lastRenderedPageBreak/>
        <w:t xml:space="preserve">specifiche responsabilità derivanti dall’essere punto di riferimento, tecnico, amministrativo e/o contabile in procedimenti complessi;  </w:t>
      </w:r>
    </w:p>
    <w:p w14:paraId="4415ECB7" w14:textId="77777777" w:rsidR="009141A8" w:rsidRDefault="009141A8" w:rsidP="009141A8">
      <w:pPr>
        <w:pStyle w:val="Paragrafoelenco"/>
        <w:numPr>
          <w:ilvl w:val="0"/>
          <w:numId w:val="5"/>
        </w:numPr>
        <w:ind w:right="53"/>
      </w:pPr>
      <w:r>
        <w:t xml:space="preserve">specifiche responsabilità derivanti dai compiti legati allo svolgimento di attività di comunicazione e informazione; </w:t>
      </w:r>
    </w:p>
    <w:p w14:paraId="182709F7" w14:textId="77777777" w:rsidR="009141A8" w:rsidRDefault="009141A8" w:rsidP="009141A8">
      <w:pPr>
        <w:pStyle w:val="Paragrafoelenco"/>
        <w:numPr>
          <w:ilvl w:val="0"/>
          <w:numId w:val="5"/>
        </w:numPr>
        <w:ind w:right="53"/>
      </w:pPr>
      <w:r>
        <w:t xml:space="preserve">specifiche responsabilità derivanti da incarichi che possono essere assegnati anche temporaneamente a dipendenti direttamente coinvolti in programmi o progetti finanziati da fondi europei o nazionali (PNRR, Fondi della Politica di Coesione ecc…): project manager e personale di supporto; </w:t>
      </w:r>
    </w:p>
    <w:p w14:paraId="2CB60845" w14:textId="77777777" w:rsidR="009141A8" w:rsidRDefault="009141A8" w:rsidP="009141A8">
      <w:pPr>
        <w:pStyle w:val="Paragrafoelenco"/>
        <w:numPr>
          <w:ilvl w:val="0"/>
          <w:numId w:val="5"/>
        </w:numPr>
        <w:ind w:right="53"/>
      </w:pPr>
      <w:r>
        <w:t xml:space="preserve">specifiche responsabilità eventualmente affidate agli addetti agli uffici per le relazioni con il pubblico ed ai formatori professionali; </w:t>
      </w:r>
    </w:p>
    <w:p w14:paraId="5E681A1A" w14:textId="77777777" w:rsidR="009141A8" w:rsidRDefault="009141A8" w:rsidP="009141A8">
      <w:pPr>
        <w:pStyle w:val="Paragrafoelenco"/>
        <w:numPr>
          <w:ilvl w:val="0"/>
          <w:numId w:val="5"/>
        </w:numPr>
        <w:spacing w:after="33"/>
        <w:ind w:right="53"/>
      </w:pPr>
      <w:r>
        <w:t xml:space="preserve">specifiche responsabilità affidate al personale addetto ai servizi di protezione civile; - specifiche responsabilità derivanti dall’esercizio delle funzioni di ufficiale giudiziario attribuite ai messi notificatori; </w:t>
      </w:r>
    </w:p>
    <w:p w14:paraId="5ABE4BE2" w14:textId="77777777" w:rsidR="009141A8" w:rsidRDefault="009141A8" w:rsidP="009141A8">
      <w:pPr>
        <w:pStyle w:val="Paragrafoelenco"/>
        <w:numPr>
          <w:ilvl w:val="0"/>
          <w:numId w:val="5"/>
        </w:numPr>
        <w:ind w:right="53"/>
      </w:pPr>
      <w:r>
        <w:t xml:space="preserve">specifiche responsabilità derivanti dall’incarico di Vice Segretario in attuazione alla disciplina derogatoria dell’istituto ordinario del Vice Segretario di cui all’art. 16 ter, commi 9 e 10 del DL n. 162/2019, convertito in L. n. 8/2020. </w:t>
      </w:r>
    </w:p>
    <w:p w14:paraId="51720148" w14:textId="77777777" w:rsidR="009141A8" w:rsidRDefault="009141A8" w:rsidP="009141A8">
      <w:pPr>
        <w:spacing w:after="14" w:line="259" w:lineRule="auto"/>
      </w:pPr>
      <w:r>
        <w:t xml:space="preserve"> </w:t>
      </w:r>
    </w:p>
    <w:p w14:paraId="1DA7FB61" w14:textId="77777777" w:rsidR="009141A8" w:rsidRDefault="009141A8" w:rsidP="009141A8">
      <w:pPr>
        <w:pStyle w:val="Titolo4"/>
        <w:ind w:left="-5"/>
        <w:jc w:val="both"/>
      </w:pPr>
      <w:r>
        <w:t xml:space="preserve">ART. 3 QUANTIFICAZIONE DEL COMPENSO, MODALITA’ DI ASSEGNAZIONE E CRITERI DI PESATURA PER IL RICONOSCIMENTO DELLE SPECIFICHE RESPONSABILITA’ </w:t>
      </w:r>
    </w:p>
    <w:p w14:paraId="50637202" w14:textId="77777777" w:rsidR="009141A8" w:rsidRDefault="009141A8" w:rsidP="009141A8">
      <w:pPr>
        <w:spacing w:after="0" w:line="259" w:lineRule="auto"/>
      </w:pPr>
      <w:r>
        <w:rPr>
          <w:sz w:val="28"/>
        </w:rPr>
        <w:t xml:space="preserve"> </w:t>
      </w:r>
    </w:p>
    <w:p w14:paraId="1219924B" w14:textId="77777777" w:rsidR="009141A8" w:rsidRDefault="009141A8" w:rsidP="009141A8">
      <w:pPr>
        <w:pStyle w:val="Paragrafoelenco"/>
        <w:numPr>
          <w:ilvl w:val="0"/>
          <w:numId w:val="6"/>
        </w:numPr>
        <w:ind w:right="53"/>
      </w:pPr>
      <w:r>
        <w:t xml:space="preserve">La quota del fondo per le risorse decentrate da destinare annualmente al finanziamento dei compensi per specifiche responsabilità è fissata dalla contrattazione integrativa dell’Ente. Le specifiche responsabilità non sono generalizzate e non coincidono con l’attribuzione della responsabilità di procedimento. </w:t>
      </w:r>
    </w:p>
    <w:p w14:paraId="7A0DF95F" w14:textId="4FDC44BA" w:rsidR="009141A8" w:rsidRDefault="009141A8" w:rsidP="009141A8">
      <w:pPr>
        <w:pStyle w:val="Paragrafoelenco"/>
        <w:numPr>
          <w:ilvl w:val="0"/>
          <w:numId w:val="6"/>
        </w:numPr>
        <w:ind w:right="53"/>
      </w:pPr>
      <w:r>
        <w:t xml:space="preserve">Nell’ambito di tali risorse, il Segretario Comunale di concerto con l’Amministrazione Comunale individua nell’Ente il numero e la tipologia delle posizioni di lavoro caratterizzate dall’assunzione di specifiche responsabilità, sulla base delle proposte di individuazione effettuate dai Responsabili dei Servizi da comunicare entro il 30/11 dell’anno precedente. Per il primo anno di entrata in vigore le richieste devono pervenire al Segretario Comunale entro il </w:t>
      </w:r>
      <w:r w:rsidR="00A43446">
        <w:t>5</w:t>
      </w:r>
      <w:r>
        <w:t xml:space="preserve"> </w:t>
      </w:r>
      <w:r w:rsidR="00A43446">
        <w:t>aprile</w:t>
      </w:r>
      <w:r>
        <w:t>.</w:t>
      </w:r>
    </w:p>
    <w:p w14:paraId="05249F36" w14:textId="77777777" w:rsidR="009141A8" w:rsidRDefault="009141A8" w:rsidP="009141A8">
      <w:pPr>
        <w:pStyle w:val="Paragrafoelenco"/>
        <w:numPr>
          <w:ilvl w:val="0"/>
          <w:numId w:val="6"/>
        </w:numPr>
        <w:spacing w:after="36"/>
        <w:ind w:right="53"/>
      </w:pPr>
      <w:r>
        <w:t xml:space="preserve">Il compenso, per l’esercizio delle particolari responsabilità è quantificato fino a € 3.000,00 elevabili fino ad un massimo di € 4.000,00 per il personale inquadrato nell’Area dei Funzionari ed EQ ed è determinato in relazione alle seguenti variabili: </w:t>
      </w:r>
    </w:p>
    <w:p w14:paraId="68FC8B18" w14:textId="77777777" w:rsidR="009141A8" w:rsidRDefault="009141A8" w:rsidP="009141A8">
      <w:pPr>
        <w:spacing w:after="36"/>
        <w:ind w:right="53"/>
      </w:pPr>
    </w:p>
    <w:p w14:paraId="3B710590" w14:textId="77777777" w:rsidR="009141A8" w:rsidRDefault="009141A8" w:rsidP="009141A8">
      <w:pPr>
        <w:numPr>
          <w:ilvl w:val="0"/>
          <w:numId w:val="2"/>
        </w:numPr>
        <w:spacing w:after="0" w:line="259" w:lineRule="auto"/>
        <w:ind w:hanging="720"/>
      </w:pPr>
      <w:r>
        <w:rPr>
          <w:b/>
          <w:u w:val="single" w:color="000000"/>
        </w:rPr>
        <w:t>Alta complessità da € 3.001,00 a € 4.000,00</w:t>
      </w:r>
      <w:r>
        <w:t xml:space="preserve">  </w:t>
      </w:r>
    </w:p>
    <w:p w14:paraId="79EF4A16" w14:textId="77777777" w:rsidR="009141A8" w:rsidRDefault="009141A8" w:rsidP="009141A8">
      <w:pPr>
        <w:tabs>
          <w:tab w:val="center" w:pos="3601"/>
          <w:tab w:val="center" w:pos="5153"/>
        </w:tabs>
        <w:ind w:left="-15"/>
      </w:pPr>
      <w:r>
        <w:t xml:space="preserve">Area dei Funzionari ed EQ   </w:t>
      </w:r>
      <w:r>
        <w:tab/>
        <w:t xml:space="preserve"> </w:t>
      </w:r>
      <w:r>
        <w:tab/>
        <w:t xml:space="preserve">da punti 90 a 100 </w:t>
      </w:r>
    </w:p>
    <w:p w14:paraId="6BFA39F5" w14:textId="77777777" w:rsidR="009141A8" w:rsidRDefault="009141A8" w:rsidP="009141A8">
      <w:pPr>
        <w:spacing w:after="26" w:line="259" w:lineRule="auto"/>
      </w:pPr>
      <w:r>
        <w:t xml:space="preserve"> </w:t>
      </w:r>
    </w:p>
    <w:p w14:paraId="798E5187" w14:textId="77777777" w:rsidR="009141A8" w:rsidRDefault="009141A8" w:rsidP="009141A8">
      <w:pPr>
        <w:numPr>
          <w:ilvl w:val="0"/>
          <w:numId w:val="2"/>
        </w:numPr>
        <w:spacing w:after="0" w:line="259" w:lineRule="auto"/>
        <w:ind w:hanging="720"/>
      </w:pPr>
      <w:r>
        <w:rPr>
          <w:b/>
          <w:u w:val="single" w:color="000000"/>
        </w:rPr>
        <w:t>Media complessità da € 1.501,00 a € 3.000,00</w:t>
      </w:r>
      <w:r>
        <w:rPr>
          <w:b/>
        </w:rPr>
        <w:t xml:space="preserve"> </w:t>
      </w:r>
    </w:p>
    <w:p w14:paraId="63DAAD0A" w14:textId="77777777" w:rsidR="009141A8" w:rsidRDefault="009141A8" w:rsidP="009141A8">
      <w:pPr>
        <w:tabs>
          <w:tab w:val="center" w:pos="3601"/>
          <w:tab w:val="center" w:pos="5127"/>
        </w:tabs>
        <w:ind w:left="-15"/>
      </w:pPr>
      <w:r>
        <w:t xml:space="preserve">Area dei Funzionari ed EQ   </w:t>
      </w:r>
      <w:r>
        <w:tab/>
        <w:t xml:space="preserve"> </w:t>
      </w:r>
      <w:r>
        <w:tab/>
        <w:t xml:space="preserve">da punti 75 a 89; </w:t>
      </w:r>
    </w:p>
    <w:p w14:paraId="7E578235" w14:textId="77777777" w:rsidR="009141A8" w:rsidRDefault="009141A8" w:rsidP="009141A8">
      <w:pPr>
        <w:tabs>
          <w:tab w:val="center" w:pos="2881"/>
          <w:tab w:val="center" w:pos="3601"/>
          <w:tab w:val="center" w:pos="5187"/>
        </w:tabs>
        <w:ind w:left="-15"/>
      </w:pPr>
      <w:r>
        <w:t xml:space="preserve">Operatori esperti, Istruttori </w:t>
      </w:r>
      <w:r>
        <w:tab/>
        <w:t xml:space="preserve"> </w:t>
      </w:r>
      <w:r>
        <w:tab/>
        <w:t xml:space="preserve"> </w:t>
      </w:r>
      <w:r>
        <w:tab/>
        <w:t xml:space="preserve">da punti 75 a 100; </w:t>
      </w:r>
    </w:p>
    <w:p w14:paraId="7E2B33B2" w14:textId="77777777" w:rsidR="009141A8" w:rsidRDefault="009141A8" w:rsidP="009141A8">
      <w:pPr>
        <w:spacing w:after="26" w:line="259" w:lineRule="auto"/>
      </w:pPr>
      <w:r>
        <w:t xml:space="preserve"> </w:t>
      </w:r>
    </w:p>
    <w:p w14:paraId="5A6B2B06" w14:textId="77777777" w:rsidR="009141A8" w:rsidRDefault="009141A8" w:rsidP="009141A8">
      <w:pPr>
        <w:tabs>
          <w:tab w:val="center" w:pos="3067"/>
        </w:tabs>
        <w:spacing w:after="0" w:line="259" w:lineRule="auto"/>
        <w:ind w:left="-15"/>
      </w:pPr>
      <w:r>
        <w:rPr>
          <w:b/>
          <w:u w:val="single" w:color="000000"/>
        </w:rPr>
        <w:t xml:space="preserve">• </w:t>
      </w:r>
      <w:r>
        <w:rPr>
          <w:b/>
          <w:u w:val="single" w:color="000000"/>
        </w:rPr>
        <w:tab/>
        <w:t>Discreta complessità: da 1,00 fino a € 1.500,00</w:t>
      </w:r>
      <w:r>
        <w:rPr>
          <w:b/>
        </w:rPr>
        <w:t xml:space="preserve"> </w:t>
      </w:r>
    </w:p>
    <w:p w14:paraId="5C5E6CA7" w14:textId="77777777" w:rsidR="009141A8" w:rsidRDefault="009141A8" w:rsidP="009141A8">
      <w:pPr>
        <w:tabs>
          <w:tab w:val="center" w:pos="3601"/>
          <w:tab w:val="center" w:pos="5127"/>
        </w:tabs>
        <w:ind w:left="-15"/>
      </w:pPr>
      <w:r>
        <w:t xml:space="preserve">Area dei Funzionari ed EQ   </w:t>
      </w:r>
      <w:r>
        <w:tab/>
        <w:t xml:space="preserve"> </w:t>
      </w:r>
      <w:r>
        <w:tab/>
        <w:t xml:space="preserve">da punti 60 a 74; </w:t>
      </w:r>
    </w:p>
    <w:p w14:paraId="2D7B3CF4" w14:textId="77777777" w:rsidR="009141A8" w:rsidRDefault="009141A8" w:rsidP="009141A8">
      <w:pPr>
        <w:tabs>
          <w:tab w:val="center" w:pos="2881"/>
          <w:tab w:val="center" w:pos="3601"/>
          <w:tab w:val="center" w:pos="5127"/>
        </w:tabs>
        <w:ind w:left="-15"/>
      </w:pPr>
      <w:r>
        <w:t xml:space="preserve">Operatori esperti, Istruttori </w:t>
      </w:r>
      <w:r>
        <w:tab/>
        <w:t xml:space="preserve"> </w:t>
      </w:r>
      <w:r>
        <w:tab/>
        <w:t xml:space="preserve"> </w:t>
      </w:r>
      <w:r>
        <w:tab/>
        <w:t xml:space="preserve">da punti 60 a 74; </w:t>
      </w:r>
    </w:p>
    <w:p w14:paraId="6BDE20E6" w14:textId="77777777" w:rsidR="009141A8" w:rsidRDefault="009141A8" w:rsidP="009141A8">
      <w:pPr>
        <w:spacing w:after="0" w:line="259" w:lineRule="auto"/>
      </w:pPr>
      <w:r>
        <w:t xml:space="preserve"> </w:t>
      </w:r>
    </w:p>
    <w:p w14:paraId="43A1039A" w14:textId="77777777" w:rsidR="009141A8" w:rsidRDefault="009141A8" w:rsidP="009141A8">
      <w:pPr>
        <w:spacing w:after="30"/>
        <w:ind w:left="-5" w:right="53"/>
      </w:pPr>
      <w:r>
        <w:t xml:space="preserve">La graduazione delle specifiche responsabilità viene determinata mediante i seguenti criteri di pesatura valutati dal Segretario Comunale: </w:t>
      </w:r>
    </w:p>
    <w:p w14:paraId="13140217" w14:textId="77777777" w:rsidR="009141A8" w:rsidRDefault="009141A8" w:rsidP="009141A8">
      <w:pPr>
        <w:spacing w:after="30"/>
        <w:ind w:left="-5" w:right="53"/>
      </w:pPr>
    </w:p>
    <w:p w14:paraId="01A0E95A" w14:textId="77777777" w:rsidR="009141A8" w:rsidRDefault="009141A8" w:rsidP="009141A8">
      <w:pPr>
        <w:numPr>
          <w:ilvl w:val="0"/>
          <w:numId w:val="3"/>
        </w:numPr>
        <w:spacing w:after="32" w:line="259" w:lineRule="auto"/>
        <w:ind w:hanging="720"/>
      </w:pPr>
      <w:r>
        <w:rPr>
          <w:b/>
        </w:rPr>
        <w:lastRenderedPageBreak/>
        <w:t>COMPLESSITA’ DEI PROGETTI E PROCESSI GESTITI</w:t>
      </w:r>
      <w:r>
        <w:t xml:space="preserve">: fino a pt 25 </w:t>
      </w:r>
    </w:p>
    <w:p w14:paraId="1524CFA1" w14:textId="77777777" w:rsidR="009141A8" w:rsidRDefault="009141A8" w:rsidP="009141A8">
      <w:pPr>
        <w:numPr>
          <w:ilvl w:val="0"/>
          <w:numId w:val="3"/>
        </w:numPr>
        <w:spacing w:after="4" w:line="259" w:lineRule="auto"/>
        <w:ind w:hanging="720"/>
      </w:pPr>
      <w:r>
        <w:rPr>
          <w:b/>
        </w:rPr>
        <w:t xml:space="preserve">VARIETA’ E DIVERSITA’ DEI PROGETTI, DEI PROCESSI E DEGLI UFFICI </w:t>
      </w:r>
    </w:p>
    <w:p w14:paraId="403E143A" w14:textId="77777777" w:rsidR="009141A8" w:rsidRDefault="009141A8" w:rsidP="009141A8">
      <w:pPr>
        <w:spacing w:after="36"/>
        <w:ind w:left="-5" w:right="53"/>
      </w:pPr>
      <w:r>
        <w:rPr>
          <w:b/>
        </w:rPr>
        <w:t>INTERESSATI</w:t>
      </w:r>
      <w:r>
        <w:t xml:space="preserve">: fino a pt. 25 </w:t>
      </w:r>
    </w:p>
    <w:p w14:paraId="289AD804" w14:textId="77777777" w:rsidR="009141A8" w:rsidRDefault="009141A8" w:rsidP="009141A8">
      <w:pPr>
        <w:numPr>
          <w:ilvl w:val="0"/>
          <w:numId w:val="3"/>
        </w:numPr>
        <w:spacing w:after="4" w:line="259" w:lineRule="auto"/>
        <w:ind w:hanging="720"/>
      </w:pPr>
      <w:r>
        <w:rPr>
          <w:b/>
        </w:rPr>
        <w:t xml:space="preserve">COMPLESSITA’ DELLE RELAZIONI VERSO L’ESTERNO O VERSO </w:t>
      </w:r>
    </w:p>
    <w:p w14:paraId="575DD2A4" w14:textId="77777777" w:rsidR="009141A8" w:rsidRDefault="009141A8" w:rsidP="009141A8">
      <w:pPr>
        <w:spacing w:after="26"/>
        <w:ind w:left="-5" w:right="53"/>
      </w:pPr>
      <w:r>
        <w:rPr>
          <w:b/>
        </w:rPr>
        <w:t>L’INTERNO</w:t>
      </w:r>
      <w:r>
        <w:t xml:space="preserve">: fino a pt. 25 </w:t>
      </w:r>
    </w:p>
    <w:p w14:paraId="4566B877" w14:textId="77777777" w:rsidR="009141A8" w:rsidRDefault="009141A8" w:rsidP="009141A8">
      <w:pPr>
        <w:numPr>
          <w:ilvl w:val="0"/>
          <w:numId w:val="3"/>
        </w:numPr>
        <w:spacing w:after="4" w:line="259" w:lineRule="auto"/>
        <w:ind w:hanging="720"/>
      </w:pPr>
      <w:r>
        <w:rPr>
          <w:b/>
        </w:rPr>
        <w:t>RESPONSABILITA’ AMMINISTRATIVA/CONTABILE</w:t>
      </w:r>
      <w:r>
        <w:t xml:space="preserve">: fino a pt. 25 </w:t>
      </w:r>
    </w:p>
    <w:p w14:paraId="10BF93BC" w14:textId="77777777" w:rsidR="009141A8" w:rsidRDefault="009141A8" w:rsidP="009141A8">
      <w:pPr>
        <w:spacing w:after="0" w:line="259" w:lineRule="auto"/>
      </w:pPr>
      <w:r>
        <w:t xml:space="preserve"> </w:t>
      </w:r>
    </w:p>
    <w:p w14:paraId="2093595B" w14:textId="77777777" w:rsidR="009141A8" w:rsidRDefault="009141A8" w:rsidP="009141A8">
      <w:pPr>
        <w:pStyle w:val="Paragrafoelenco"/>
        <w:numPr>
          <w:ilvl w:val="0"/>
          <w:numId w:val="6"/>
        </w:numPr>
        <w:ind w:right="53"/>
      </w:pPr>
      <w:r>
        <w:t xml:space="preserve">Il Segretario Comunale ripartisce, successivamente, il numero ed il tipo delle posizioni caratterizzate da specifiche responsabilità tra le varie articolazioni di massima dimensione dell’Ente, ne effettua la pesatura, attribuisce i budgets ai Settori sulla base della stessa (in caso di superamento del budget previsto, riassegnazione in modo proporzionale in base al punteggio ottenuto) e delle risorse rese disponibili in sede di contrattazione decentrata e ne dà informazione alle OO.SS. e alla R.S.U.  </w:t>
      </w:r>
    </w:p>
    <w:p w14:paraId="4FD7CB87" w14:textId="77777777" w:rsidR="009141A8" w:rsidRDefault="009141A8" w:rsidP="009141A8">
      <w:pPr>
        <w:pStyle w:val="Paragrafoelenco"/>
        <w:numPr>
          <w:ilvl w:val="0"/>
          <w:numId w:val="6"/>
        </w:numPr>
        <w:ind w:right="53"/>
      </w:pPr>
      <w:r>
        <w:t xml:space="preserve">Il Responsabile di Servizio di ogni Settore assegnatario delle posizioni di lavoro suddette provvede ad incaricare formalmente il dipendente cui assegnare l’incarico, indicando nell’atto l’ammontare della corrispondente indennità secondo gli importi assegnati dal Segretario Comunale.  </w:t>
      </w:r>
    </w:p>
    <w:p w14:paraId="24A7E139" w14:textId="77777777" w:rsidR="009141A8" w:rsidRDefault="009141A8" w:rsidP="009141A8">
      <w:pPr>
        <w:pStyle w:val="Paragrafoelenco"/>
        <w:numPr>
          <w:ilvl w:val="0"/>
          <w:numId w:val="6"/>
        </w:numPr>
        <w:ind w:right="53"/>
      </w:pPr>
      <w:r>
        <w:t xml:space="preserve">Gli incarichi scadono al termine dell’anno solare e, alla scadenza, sono rinnovabili con atto formale e motivato del Responsabile di Servizio, previa autorizzazione del Segretario Comunale. La durata temporale non può in ogni caso eccedere quella relativa ai soggetti che conferiscono l’incarico.  </w:t>
      </w:r>
    </w:p>
    <w:p w14:paraId="5777FFC1" w14:textId="77777777" w:rsidR="009141A8" w:rsidRDefault="009141A8" w:rsidP="009141A8">
      <w:pPr>
        <w:pStyle w:val="Paragrafoelenco"/>
        <w:numPr>
          <w:ilvl w:val="0"/>
          <w:numId w:val="6"/>
        </w:numPr>
        <w:ind w:right="53"/>
      </w:pPr>
      <w:r>
        <w:t xml:space="preserve">Gli incarichi possono essere revocati prima della scadenza, con atto scritto e motivato:  </w:t>
      </w:r>
    </w:p>
    <w:p w14:paraId="319B63DC" w14:textId="77777777" w:rsidR="009141A8" w:rsidRDefault="009141A8" w:rsidP="009141A8">
      <w:pPr>
        <w:pStyle w:val="Paragrafoelenco"/>
        <w:numPr>
          <w:ilvl w:val="0"/>
          <w:numId w:val="7"/>
        </w:numPr>
        <w:spacing w:after="33"/>
        <w:ind w:right="53"/>
      </w:pPr>
      <w:r>
        <w:t xml:space="preserve">in relazione a intervenuti mutamenti organizzativi; </w:t>
      </w:r>
    </w:p>
    <w:p w14:paraId="3152B31C" w14:textId="77777777" w:rsidR="009141A8" w:rsidRDefault="009141A8" w:rsidP="009141A8">
      <w:pPr>
        <w:pStyle w:val="Paragrafoelenco"/>
        <w:numPr>
          <w:ilvl w:val="0"/>
          <w:numId w:val="7"/>
        </w:numPr>
        <w:ind w:right="53"/>
      </w:pPr>
      <w:r>
        <w:t xml:space="preserve">in conseguenza all’accertamento di gravi inadempienze da parte dell’incaricato;  </w:t>
      </w:r>
    </w:p>
    <w:p w14:paraId="4CADF7E3" w14:textId="77777777" w:rsidR="009141A8" w:rsidRDefault="009141A8" w:rsidP="009141A8">
      <w:pPr>
        <w:pStyle w:val="Paragrafoelenco"/>
        <w:numPr>
          <w:ilvl w:val="0"/>
          <w:numId w:val="7"/>
        </w:numPr>
        <w:ind w:right="53"/>
      </w:pPr>
      <w:r>
        <w:t xml:space="preserve">in caso di sospensione dal servizio (con privazione della retribuzione) a seguito di procedimento disciplinare o penale.  </w:t>
      </w:r>
    </w:p>
    <w:p w14:paraId="490B9A94" w14:textId="77777777" w:rsidR="009141A8" w:rsidRDefault="009141A8" w:rsidP="009141A8">
      <w:pPr>
        <w:pStyle w:val="Paragrafoelenco"/>
        <w:numPr>
          <w:ilvl w:val="0"/>
          <w:numId w:val="6"/>
        </w:numPr>
        <w:ind w:right="53"/>
      </w:pPr>
      <w:r>
        <w:t xml:space="preserve">I provvedimenti sia di nomina che di revoca devono pervenire al Settore competente in materia di personale per l’inserimento nel fascicolo personale del dipendente; degli stessi deve essere data informazione alle OO.SS. e alla RSU. </w:t>
      </w:r>
    </w:p>
    <w:p w14:paraId="5D35F4CF" w14:textId="77777777" w:rsidR="009141A8" w:rsidRDefault="009141A8" w:rsidP="009141A8">
      <w:pPr>
        <w:spacing w:after="14" w:line="259" w:lineRule="auto"/>
      </w:pPr>
    </w:p>
    <w:p w14:paraId="79FD8941" w14:textId="77777777" w:rsidR="009141A8" w:rsidRDefault="009141A8" w:rsidP="009141A8">
      <w:pPr>
        <w:pStyle w:val="Titolo4"/>
        <w:ind w:left="-5"/>
      </w:pPr>
      <w:r>
        <w:t xml:space="preserve">ART. 4 MODALITÀ DI EROGAZIONE DEL COMPENSO  </w:t>
      </w:r>
    </w:p>
    <w:p w14:paraId="0E877D93" w14:textId="77777777" w:rsidR="009141A8" w:rsidRDefault="009141A8" w:rsidP="009141A8">
      <w:pPr>
        <w:spacing w:after="0" w:line="259" w:lineRule="auto"/>
      </w:pPr>
      <w:r>
        <w:rPr>
          <w:b/>
          <w:sz w:val="28"/>
        </w:rPr>
        <w:t xml:space="preserve"> </w:t>
      </w:r>
    </w:p>
    <w:p w14:paraId="7EE926B9" w14:textId="77777777" w:rsidR="009141A8" w:rsidRDefault="009141A8" w:rsidP="009141A8">
      <w:pPr>
        <w:pStyle w:val="Paragrafoelenco"/>
        <w:numPr>
          <w:ilvl w:val="0"/>
          <w:numId w:val="8"/>
        </w:numPr>
        <w:spacing w:after="30"/>
        <w:ind w:right="53"/>
      </w:pPr>
      <w:r>
        <w:t xml:space="preserve">L’erogazione del compenso avverrà su base mensile ed in proporzione alla effettiva copertura della posizione o dell’incarico individuati quali presupposti per il riconoscimento.  </w:t>
      </w:r>
    </w:p>
    <w:p w14:paraId="517F7B7F" w14:textId="77777777" w:rsidR="009141A8" w:rsidRDefault="009141A8" w:rsidP="009141A8">
      <w:pPr>
        <w:pStyle w:val="Paragrafoelenco"/>
        <w:numPr>
          <w:ilvl w:val="0"/>
          <w:numId w:val="8"/>
        </w:numPr>
        <w:ind w:right="53"/>
      </w:pPr>
      <w:r>
        <w:t xml:space="preserve">Gli importi annui sono proporzionalmente ridotti per il personale con rapporto di lavoro parziale in relazione all’orario di servizio settimanale, mensile o annuale indicato dal contratto di lavoro.  </w:t>
      </w:r>
    </w:p>
    <w:p w14:paraId="22B18D62" w14:textId="77777777" w:rsidR="009141A8" w:rsidRDefault="009141A8" w:rsidP="009141A8">
      <w:pPr>
        <w:pStyle w:val="Paragrafoelenco"/>
        <w:numPr>
          <w:ilvl w:val="0"/>
          <w:numId w:val="8"/>
        </w:numPr>
        <w:ind w:right="53"/>
      </w:pPr>
      <w:r>
        <w:t xml:space="preserve">Ad ogni dipendente non può essere attribuita più di una indennità per specifiche responsabilità; nel caso in cui ricorrano più responsabilità, al dipendente interessato è attribuita quella di valore economico più elevato. </w:t>
      </w:r>
    </w:p>
    <w:p w14:paraId="10899EB4" w14:textId="77777777" w:rsidR="009141A8" w:rsidRDefault="009141A8" w:rsidP="009141A8">
      <w:pPr>
        <w:pStyle w:val="Paragrafoelenco"/>
        <w:numPr>
          <w:ilvl w:val="0"/>
          <w:numId w:val="8"/>
        </w:numPr>
        <w:ind w:right="53"/>
      </w:pPr>
      <w:r>
        <w:t xml:space="preserve">In caso di assenza (fatto salvo le assenze per le quali vige una specifica normativa) o impedimento superiore a 60 giorni lavorativi continuativi del titolare di Specifica Responsabilità l’indennità può essere sospesa temporaneamente sino al rientro del titolare, fatto salvo quanto espressamente previsto dalle Leggi vigenti a tutela di determinate assenze. </w:t>
      </w:r>
    </w:p>
    <w:p w14:paraId="0A9A186A" w14:textId="77777777" w:rsidR="009141A8" w:rsidRDefault="009141A8" w:rsidP="009141A8">
      <w:pPr>
        <w:pStyle w:val="Paragrafoelenco"/>
        <w:numPr>
          <w:ilvl w:val="0"/>
          <w:numId w:val="8"/>
        </w:numPr>
        <w:ind w:right="53"/>
      </w:pPr>
      <w:r>
        <w:t xml:space="preserve">L'importo delle indennità è decurtato nel solo caso di assenza di malattia per i primi 10 giorni di ogni evento morboso, ai sensi dell'art. 71 comma 1 del DL 112/2008.  </w:t>
      </w:r>
    </w:p>
    <w:p w14:paraId="54A756C0" w14:textId="77777777" w:rsidR="009141A8" w:rsidRDefault="009141A8" w:rsidP="00403111">
      <w:pPr>
        <w:pStyle w:val="Paragrafoelenco"/>
        <w:numPr>
          <w:ilvl w:val="0"/>
          <w:numId w:val="8"/>
        </w:numPr>
        <w:ind w:right="53"/>
      </w:pPr>
      <w:r>
        <w:t xml:space="preserve">L'indennità non può essere revocata in caso di astensione per maternità, ai sensi del D.lgs. n. 151/2001.  </w:t>
      </w:r>
      <w:bookmarkEnd w:id="0"/>
    </w:p>
    <w:sectPr w:rsidR="009141A8" w:rsidSect="00FE0CD3">
      <w:headerReference w:type="default" r:id="rId9"/>
      <w:footerReference w:type="even" r:id="rId10"/>
      <w:footerReference w:type="default" r:id="rId11"/>
      <w:headerReference w:type="first" r:id="rId12"/>
      <w:footerReference w:type="first" r:id="rId13"/>
      <w:pgSz w:w="11901" w:h="16817"/>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7E556" w14:textId="77777777" w:rsidR="00FD5ABF" w:rsidRDefault="00FD5ABF" w:rsidP="00E8167B">
      <w:r>
        <w:separator/>
      </w:r>
    </w:p>
  </w:endnote>
  <w:endnote w:type="continuationSeparator" w:id="0">
    <w:p w14:paraId="6F99D8F4" w14:textId="77777777" w:rsidR="00FD5ABF" w:rsidRDefault="00FD5ABF"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DEB7" w14:textId="77777777"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907475" w14:textId="77777777" w:rsidR="00FE1EE2" w:rsidRDefault="00FE1EE2" w:rsidP="00F306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EFC5" w14:textId="77777777"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2F162F">
      <w:rPr>
        <w:rStyle w:val="Numeropagina"/>
        <w:noProof/>
      </w:rPr>
      <w:t>2</w:t>
    </w:r>
    <w:r w:rsidRPr="00F306BA">
      <w:rPr>
        <w:rStyle w:val="Numeropagina"/>
      </w:rPr>
      <w:fldChar w:fldCharType="end"/>
    </w:r>
  </w:p>
  <w:p w14:paraId="5A8B1D7A" w14:textId="4C4523F6"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057B" w14:textId="21E4A178" w:rsidR="00BF2B3F" w:rsidRPr="00BF2B3F" w:rsidRDefault="00BF2B3F" w:rsidP="004A5D5B">
    <w:pPr>
      <w:pStyle w:val="PiPag"/>
    </w:pPr>
    <w:r w:rsidRPr="00BF2B3F">
      <w:t>Comune di Riomaggiore - Provincia della Spezia</w:t>
    </w:r>
  </w:p>
  <w:p w14:paraId="1B701002" w14:textId="4893E160" w:rsidR="00BF2B3F" w:rsidRPr="00BF2B3F" w:rsidRDefault="00BF2B3F" w:rsidP="004A5D5B">
    <w:pPr>
      <w:pStyle w:val="PiPag"/>
    </w:pPr>
    <w:r w:rsidRPr="00BF2B3F">
      <w:t>via Signorini 118 - 19017 Riomaggiore (SP) tel. 0187 760219 – fax 0187 920866</w:t>
    </w:r>
  </w:p>
  <w:p w14:paraId="4532F7F0" w14:textId="38843164" w:rsidR="00BF2B3F" w:rsidRPr="004A5D5B" w:rsidRDefault="00BF2B3F" w:rsidP="004A5D5B">
    <w:pPr>
      <w:pStyle w:val="PiPag"/>
      <w:rPr>
        <w:color w:val="0000FF"/>
        <w:u w:val="single"/>
        <w:lang w:val="en-US"/>
      </w:rPr>
    </w:pPr>
    <w:r w:rsidRPr="00BF2B3F">
      <w:rPr>
        <w:lang w:val="en-US"/>
      </w:rPr>
      <w:t xml:space="preserve">email: </w:t>
    </w:r>
    <w:hyperlink r:id="rId1" w:history="1">
      <w:r w:rsidRPr="00BF2B3F">
        <w:rPr>
          <w:rStyle w:val="Collegamentoipertestuale"/>
          <w:lang w:val="en-US"/>
        </w:rPr>
        <w:t>urp@comune.riomaggiore.sp.it</w:t>
      </w:r>
    </w:hyperlink>
    <w:r w:rsidRPr="00BF2B3F">
      <w:rPr>
        <w:lang w:val="en-US"/>
      </w:rPr>
      <w:t xml:space="preserve"> /pec: </w:t>
    </w:r>
    <w:hyperlink r:id="rId2" w:history="1">
      <w:r w:rsidRPr="00BF2B3F">
        <w:rPr>
          <w:rStyle w:val="Collegamentoipertestuale"/>
          <w:lang w:val="en-US"/>
        </w:rPr>
        <w:t>segreteria@pec-comunediriomaggiore.it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9AFE3" w14:textId="77777777" w:rsidR="00FD5ABF" w:rsidRDefault="00FD5ABF" w:rsidP="00E8167B">
      <w:r>
        <w:separator/>
      </w:r>
    </w:p>
  </w:footnote>
  <w:footnote w:type="continuationSeparator" w:id="0">
    <w:p w14:paraId="73DC0A3C" w14:textId="77777777" w:rsidR="00FD5ABF" w:rsidRDefault="00FD5ABF" w:rsidP="00E8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605F" w14:textId="4B422CF7" w:rsidR="00BF2B3F" w:rsidRDefault="00FE1EE2">
    <w:pPr>
      <w:pStyle w:val="Intestazione"/>
    </w:pPr>
    <w:r>
      <w:rPr>
        <w:noProof/>
      </w:rPr>
      <w:drawing>
        <wp:anchor distT="0" distB="0" distL="114300" distR="114300" simplePos="0" relativeHeight="251661312" behindDoc="0" locked="0" layoutInCell="1" allowOverlap="1" wp14:anchorId="08653E8D" wp14:editId="239E378A">
          <wp:simplePos x="0" y="0"/>
          <wp:positionH relativeFrom="column">
            <wp:posOffset>4773930</wp:posOffset>
          </wp:positionH>
          <wp:positionV relativeFrom="paragraph">
            <wp:posOffset>-155575</wp:posOffset>
          </wp:positionV>
          <wp:extent cx="1758315" cy="375285"/>
          <wp:effectExtent l="0" t="0" r="0" b="571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4C99" w14:textId="77777777" w:rsidR="00BF2B3F" w:rsidRDefault="00BF2B3F">
    <w:pPr>
      <w:pStyle w:val="Intestazione"/>
    </w:pPr>
    <w:r>
      <w:rPr>
        <w:noProof/>
      </w:rPr>
      <w:drawing>
        <wp:anchor distT="0" distB="0" distL="114300" distR="114300" simplePos="0" relativeHeight="251660288" behindDoc="0" locked="0" layoutInCell="1" allowOverlap="1" wp14:anchorId="49F5C368" wp14:editId="410C19E6">
          <wp:simplePos x="0" y="0"/>
          <wp:positionH relativeFrom="column">
            <wp:posOffset>-303530</wp:posOffset>
          </wp:positionH>
          <wp:positionV relativeFrom="paragraph">
            <wp:posOffset>-255270</wp:posOffset>
          </wp:positionV>
          <wp:extent cx="6856095" cy="1369695"/>
          <wp:effectExtent l="0" t="0" r="1905"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696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09B3485"/>
    <w:multiLevelType w:val="hybridMultilevel"/>
    <w:tmpl w:val="FD7AF6C0"/>
    <w:lvl w:ilvl="0" w:tplc="D77650A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2A7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A1C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FCC6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2B8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29F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E97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8A6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FE95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E5320A"/>
    <w:multiLevelType w:val="hybridMultilevel"/>
    <w:tmpl w:val="AE4AFB4A"/>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876F9E"/>
    <w:multiLevelType w:val="hybridMultilevel"/>
    <w:tmpl w:val="7B32B2C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5708053A"/>
    <w:multiLevelType w:val="hybridMultilevel"/>
    <w:tmpl w:val="629C57CC"/>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4002D03"/>
    <w:multiLevelType w:val="hybridMultilevel"/>
    <w:tmpl w:val="21644CA0"/>
    <w:lvl w:ilvl="0" w:tplc="6CF20AB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5B327A"/>
    <w:multiLevelType w:val="hybridMultilevel"/>
    <w:tmpl w:val="4DECB25E"/>
    <w:lvl w:ilvl="0" w:tplc="6B1A2E8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A0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0AB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27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8D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07C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D2C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0E5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413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73D4F53"/>
    <w:multiLevelType w:val="hybridMultilevel"/>
    <w:tmpl w:val="825CA7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4216389">
    <w:abstractNumId w:val="0"/>
  </w:num>
  <w:num w:numId="2" w16cid:durableId="996877615">
    <w:abstractNumId w:val="1"/>
  </w:num>
  <w:num w:numId="3" w16cid:durableId="936402857">
    <w:abstractNumId w:val="6"/>
  </w:num>
  <w:num w:numId="4" w16cid:durableId="1068696099">
    <w:abstractNumId w:val="4"/>
  </w:num>
  <w:num w:numId="5" w16cid:durableId="532881979">
    <w:abstractNumId w:val="5"/>
  </w:num>
  <w:num w:numId="6" w16cid:durableId="586310408">
    <w:abstractNumId w:val="7"/>
  </w:num>
  <w:num w:numId="7" w16cid:durableId="1344238524">
    <w:abstractNumId w:val="3"/>
  </w:num>
  <w:num w:numId="8" w16cid:durableId="1480343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95"/>
    <w:rsid w:val="00026CC9"/>
    <w:rsid w:val="00034457"/>
    <w:rsid w:val="00047B14"/>
    <w:rsid w:val="00053C71"/>
    <w:rsid w:val="000605B4"/>
    <w:rsid w:val="0006203B"/>
    <w:rsid w:val="000644F4"/>
    <w:rsid w:val="00077D81"/>
    <w:rsid w:val="00081C73"/>
    <w:rsid w:val="000F3D18"/>
    <w:rsid w:val="001130E8"/>
    <w:rsid w:val="00116745"/>
    <w:rsid w:val="00141760"/>
    <w:rsid w:val="00153F0B"/>
    <w:rsid w:val="001575C4"/>
    <w:rsid w:val="0016093E"/>
    <w:rsid w:val="00171CBF"/>
    <w:rsid w:val="001E6EB2"/>
    <w:rsid w:val="00270D64"/>
    <w:rsid w:val="00272169"/>
    <w:rsid w:val="002839D5"/>
    <w:rsid w:val="00283C21"/>
    <w:rsid w:val="00285F98"/>
    <w:rsid w:val="002941AB"/>
    <w:rsid w:val="002C3D08"/>
    <w:rsid w:val="002D05F9"/>
    <w:rsid w:val="002F162F"/>
    <w:rsid w:val="00367E64"/>
    <w:rsid w:val="00371837"/>
    <w:rsid w:val="003726D2"/>
    <w:rsid w:val="003E0976"/>
    <w:rsid w:val="003E172C"/>
    <w:rsid w:val="00401FD0"/>
    <w:rsid w:val="00403111"/>
    <w:rsid w:val="00410A95"/>
    <w:rsid w:val="0042234E"/>
    <w:rsid w:val="004244BD"/>
    <w:rsid w:val="00437D36"/>
    <w:rsid w:val="00440C52"/>
    <w:rsid w:val="00444614"/>
    <w:rsid w:val="004A5D5B"/>
    <w:rsid w:val="004C01B6"/>
    <w:rsid w:val="004C0B09"/>
    <w:rsid w:val="004C267F"/>
    <w:rsid w:val="004D011E"/>
    <w:rsid w:val="004F0541"/>
    <w:rsid w:val="005338BC"/>
    <w:rsid w:val="00543136"/>
    <w:rsid w:val="0054580F"/>
    <w:rsid w:val="00546251"/>
    <w:rsid w:val="00583D26"/>
    <w:rsid w:val="005A38B0"/>
    <w:rsid w:val="005A74A6"/>
    <w:rsid w:val="005C0403"/>
    <w:rsid w:val="005D6F54"/>
    <w:rsid w:val="005F6D86"/>
    <w:rsid w:val="00620B3A"/>
    <w:rsid w:val="006507BD"/>
    <w:rsid w:val="00672310"/>
    <w:rsid w:val="00682BBE"/>
    <w:rsid w:val="006A3B3C"/>
    <w:rsid w:val="006C40A1"/>
    <w:rsid w:val="006D34ED"/>
    <w:rsid w:val="006E03E3"/>
    <w:rsid w:val="006F12BF"/>
    <w:rsid w:val="006F148F"/>
    <w:rsid w:val="0070197F"/>
    <w:rsid w:val="00742D0E"/>
    <w:rsid w:val="0076085D"/>
    <w:rsid w:val="00775FBC"/>
    <w:rsid w:val="007D1026"/>
    <w:rsid w:val="007E14C2"/>
    <w:rsid w:val="007F4615"/>
    <w:rsid w:val="00805115"/>
    <w:rsid w:val="00812829"/>
    <w:rsid w:val="00822BE1"/>
    <w:rsid w:val="00825AF6"/>
    <w:rsid w:val="00836A6A"/>
    <w:rsid w:val="00846F81"/>
    <w:rsid w:val="00852245"/>
    <w:rsid w:val="008C09D5"/>
    <w:rsid w:val="009008B2"/>
    <w:rsid w:val="009141A8"/>
    <w:rsid w:val="00951B76"/>
    <w:rsid w:val="00981DF3"/>
    <w:rsid w:val="00984E65"/>
    <w:rsid w:val="00987939"/>
    <w:rsid w:val="009A0970"/>
    <w:rsid w:val="009B1533"/>
    <w:rsid w:val="009C2157"/>
    <w:rsid w:val="009D16A0"/>
    <w:rsid w:val="00A43446"/>
    <w:rsid w:val="00A46A00"/>
    <w:rsid w:val="00A51F4A"/>
    <w:rsid w:val="00A571B7"/>
    <w:rsid w:val="00A95155"/>
    <w:rsid w:val="00AB49CC"/>
    <w:rsid w:val="00AB5309"/>
    <w:rsid w:val="00AB53CE"/>
    <w:rsid w:val="00AB5CBC"/>
    <w:rsid w:val="00AD6C75"/>
    <w:rsid w:val="00AE43E0"/>
    <w:rsid w:val="00AF41A4"/>
    <w:rsid w:val="00AF41A9"/>
    <w:rsid w:val="00AF7746"/>
    <w:rsid w:val="00B11F77"/>
    <w:rsid w:val="00B22073"/>
    <w:rsid w:val="00B40BE1"/>
    <w:rsid w:val="00B94478"/>
    <w:rsid w:val="00BB055F"/>
    <w:rsid w:val="00BB6E53"/>
    <w:rsid w:val="00BE27F8"/>
    <w:rsid w:val="00BF2B3F"/>
    <w:rsid w:val="00C37A6C"/>
    <w:rsid w:val="00C4137D"/>
    <w:rsid w:val="00C44558"/>
    <w:rsid w:val="00CA5E23"/>
    <w:rsid w:val="00CC137D"/>
    <w:rsid w:val="00CD7BB0"/>
    <w:rsid w:val="00CF503C"/>
    <w:rsid w:val="00CF72B6"/>
    <w:rsid w:val="00D41598"/>
    <w:rsid w:val="00D72DFC"/>
    <w:rsid w:val="00D732F0"/>
    <w:rsid w:val="00D73C84"/>
    <w:rsid w:val="00D767D2"/>
    <w:rsid w:val="00D827AB"/>
    <w:rsid w:val="00D97E96"/>
    <w:rsid w:val="00DB69FA"/>
    <w:rsid w:val="00E052EB"/>
    <w:rsid w:val="00E41DF9"/>
    <w:rsid w:val="00E55DF4"/>
    <w:rsid w:val="00E66D4B"/>
    <w:rsid w:val="00E8167B"/>
    <w:rsid w:val="00E90A34"/>
    <w:rsid w:val="00EF4775"/>
    <w:rsid w:val="00F00561"/>
    <w:rsid w:val="00F306BA"/>
    <w:rsid w:val="00F3635F"/>
    <w:rsid w:val="00F721C3"/>
    <w:rsid w:val="00F74EED"/>
    <w:rsid w:val="00F75BFC"/>
    <w:rsid w:val="00F77436"/>
    <w:rsid w:val="00FA7024"/>
    <w:rsid w:val="00FC2D63"/>
    <w:rsid w:val="00FD1EBC"/>
    <w:rsid w:val="00FD23C7"/>
    <w:rsid w:val="00FD5ABF"/>
    <w:rsid w:val="00FE04A8"/>
    <w:rsid w:val="00FE0CD3"/>
    <w:rsid w:val="00FE1EE2"/>
    <w:rsid w:val="00FE2E4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AC14C7"/>
  <w15:docId w15:val="{F8B7545C-9C5F-48E8-B863-D3532703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paragraph" w:styleId="Titolo4">
    <w:name w:val="heading 4"/>
    <w:basedOn w:val="Normale"/>
    <w:next w:val="Normale"/>
    <w:link w:val="Titolo4Carattere"/>
    <w:semiHidden/>
    <w:unhideWhenUsed/>
    <w:qFormat/>
    <w:rsid w:val="009141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character" w:customStyle="1" w:styleId="Titolo4Carattere">
    <w:name w:val="Titolo 4 Carattere"/>
    <w:basedOn w:val="Carpredefinitoparagrafo"/>
    <w:link w:val="Titolo4"/>
    <w:semiHidden/>
    <w:rsid w:val="009141A8"/>
    <w:rPr>
      <w:rFonts w:asciiTheme="majorHAnsi" w:eastAsiaTheme="majorEastAsia" w:hAnsiTheme="majorHAnsi" w:cstheme="majorBidi"/>
      <w:i/>
      <w:iCs/>
      <w:color w:val="2E74B5" w:themeColor="accent1" w:themeShade="BF"/>
      <w:sz w:val="24"/>
      <w:szCs w:val="24"/>
    </w:rPr>
  </w:style>
  <w:style w:type="paragraph" w:styleId="Paragrafoelenco">
    <w:name w:val="List Paragraph"/>
    <w:basedOn w:val="Normale"/>
    <w:uiPriority w:val="34"/>
    <w:qFormat/>
    <w:rsid w:val="009141A8"/>
    <w:pPr>
      <w:spacing w:after="4" w:line="249" w:lineRule="auto"/>
      <w:ind w:left="720" w:right="61" w:hanging="10"/>
      <w:contextualSpacing/>
      <w:jc w:val="both"/>
    </w:pPr>
    <w:rPr>
      <w:color w:val="00000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67196">
      <w:bodyDiv w:val="1"/>
      <w:marLeft w:val="0"/>
      <w:marRight w:val="0"/>
      <w:marTop w:val="0"/>
      <w:marBottom w:val="0"/>
      <w:divBdr>
        <w:top w:val="none" w:sz="0" w:space="0" w:color="auto"/>
        <w:left w:val="none" w:sz="0" w:space="0" w:color="auto"/>
        <w:bottom w:val="none" w:sz="0" w:space="0" w:color="auto"/>
        <w:right w:val="none" w:sz="0" w:space="0" w:color="auto"/>
      </w:divBdr>
    </w:div>
    <w:div w:id="994260189">
      <w:bodyDiv w:val="1"/>
      <w:marLeft w:val="0"/>
      <w:marRight w:val="0"/>
      <w:marTop w:val="0"/>
      <w:marBottom w:val="0"/>
      <w:divBdr>
        <w:top w:val="none" w:sz="0" w:space="0" w:color="auto"/>
        <w:left w:val="none" w:sz="0" w:space="0" w:color="auto"/>
        <w:bottom w:val="none" w:sz="0" w:space="0" w:color="auto"/>
        <w:right w:val="none" w:sz="0" w:space="0" w:color="auto"/>
      </w:divBdr>
    </w:div>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comunediriomaggiore.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rp@comune.riomaggiore.sp.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urp@comune.riomaggiore.s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7767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9111</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Luca Folegnani</cp:lastModifiedBy>
  <cp:revision>2</cp:revision>
  <cp:lastPrinted>2020-06-26T06:15:00Z</cp:lastPrinted>
  <dcterms:created xsi:type="dcterms:W3CDTF">2025-03-26T10:15:00Z</dcterms:created>
  <dcterms:modified xsi:type="dcterms:W3CDTF">2025-03-26T10:15:00Z</dcterms:modified>
</cp:coreProperties>
</file>